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5356" w14:textId="4248927D" w:rsidR="0003063F" w:rsidRPr="000E4356" w:rsidRDefault="0003063F" w:rsidP="0003063F">
      <w:pPr>
        <w:tabs>
          <w:tab w:val="center" w:pos="4536"/>
          <w:tab w:val="right" w:pos="7938"/>
          <w:tab w:val="right" w:pos="9639"/>
        </w:tabs>
        <w:ind w:right="2"/>
        <w:rPr>
          <w:b/>
          <w:bCs/>
          <w:sz w:val="28"/>
        </w:rPr>
      </w:pPr>
      <w:r w:rsidRPr="000E4356">
        <w:rPr>
          <w:b/>
          <w:bCs/>
          <w:sz w:val="28"/>
        </w:rPr>
        <w:t>3GPP TSG RAN WG1 #11</w:t>
      </w:r>
      <w:r w:rsidR="002D4350">
        <w:rPr>
          <w:b/>
          <w:bCs/>
          <w:sz w:val="28"/>
        </w:rPr>
        <w:t>7</w:t>
      </w:r>
      <w:r w:rsidRPr="000E4356">
        <w:rPr>
          <w:b/>
          <w:bCs/>
          <w:sz w:val="28"/>
        </w:rPr>
        <w:tab/>
      </w:r>
      <w:r w:rsidRPr="000E4356">
        <w:rPr>
          <w:b/>
          <w:bCs/>
          <w:sz w:val="28"/>
        </w:rPr>
        <w:tab/>
      </w:r>
      <w:r w:rsidRPr="000E4356">
        <w:rPr>
          <w:b/>
          <w:bCs/>
          <w:sz w:val="28"/>
        </w:rPr>
        <w:tab/>
      </w:r>
      <w:r w:rsidRPr="009E2433">
        <w:rPr>
          <w:b/>
          <w:bCs/>
          <w:sz w:val="28"/>
        </w:rPr>
        <w:t>R1-240</w:t>
      </w:r>
      <w:r w:rsidR="009E2433" w:rsidRPr="009E2433">
        <w:rPr>
          <w:b/>
          <w:bCs/>
          <w:sz w:val="28"/>
        </w:rPr>
        <w:t>4305</w:t>
      </w:r>
    </w:p>
    <w:p w14:paraId="04CB059B" w14:textId="77777777" w:rsidR="002D4350" w:rsidRPr="00AC2618" w:rsidRDefault="002D4350" w:rsidP="002D4350">
      <w:pPr>
        <w:pStyle w:val="3GPPHeader"/>
        <w:rPr>
          <w:rFonts w:eastAsia="MS Mincho"/>
          <w:bCs/>
          <w:sz w:val="28"/>
          <w:lang w:val="en-GB" w:eastAsia="ja-JP"/>
        </w:rPr>
      </w:pPr>
      <w:r w:rsidRPr="00AC2618">
        <w:rPr>
          <w:rFonts w:eastAsia="MS Mincho"/>
          <w:bCs/>
          <w:sz w:val="28"/>
          <w:lang w:val="en-GB" w:eastAsia="ja-JP"/>
        </w:rPr>
        <w:t>Fukuoka City, Fukuoka, Japan, May 20</w:t>
      </w:r>
      <w:r w:rsidRPr="00AC2618">
        <w:rPr>
          <w:rFonts w:eastAsia="MS Mincho" w:hint="eastAsia"/>
          <w:bCs/>
          <w:sz w:val="28"/>
          <w:vertAlign w:val="superscript"/>
          <w:lang w:val="en-GB" w:eastAsia="ja-JP"/>
        </w:rPr>
        <w:t>th</w:t>
      </w:r>
      <w:r w:rsidRPr="00AC2618">
        <w:rPr>
          <w:rFonts w:eastAsia="MS Mincho"/>
          <w:bCs/>
          <w:sz w:val="28"/>
          <w:lang w:val="en-GB" w:eastAsia="ja-JP"/>
        </w:rPr>
        <w:t xml:space="preserve"> – 24</w:t>
      </w:r>
      <w:r w:rsidRPr="00AC2618">
        <w:rPr>
          <w:rFonts w:eastAsia="MS Mincho" w:hint="eastAsia"/>
          <w:bCs/>
          <w:sz w:val="28"/>
          <w:vertAlign w:val="superscript"/>
          <w:lang w:val="en-GB" w:eastAsia="ja-JP"/>
        </w:rPr>
        <w:t>t</w:t>
      </w:r>
      <w:r w:rsidRPr="00AC2618">
        <w:rPr>
          <w:rFonts w:eastAsia="MS Mincho"/>
          <w:bCs/>
          <w:sz w:val="28"/>
          <w:vertAlign w:val="superscript"/>
          <w:lang w:val="en-GB" w:eastAsia="ja-JP"/>
        </w:rPr>
        <w:t>h</w:t>
      </w:r>
      <w:r w:rsidRPr="00AC2618">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19992502" w:rsidR="00E90E49" w:rsidRPr="00CE30E7" w:rsidRDefault="00E90E49" w:rsidP="00311702">
      <w:pPr>
        <w:pStyle w:val="3GPPHeader"/>
      </w:pPr>
      <w:r w:rsidRPr="00CE30E7">
        <w:t>Agenda Item:</w:t>
      </w:r>
      <w:r w:rsidRPr="00CE30E7">
        <w:tab/>
      </w:r>
      <w:r w:rsidR="002D2038">
        <w:t>9</w:t>
      </w:r>
      <w:r w:rsidR="00FA72BF">
        <w:t>.</w:t>
      </w:r>
      <w:r w:rsidR="005C0B47">
        <w:t>8</w:t>
      </w:r>
      <w:r w:rsidR="002D2038">
        <w:t>.</w:t>
      </w:r>
      <w:r w:rsidR="00457D24">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0EB3938" w:rsidR="00531215" w:rsidRPr="00CE30E7" w:rsidRDefault="003D3C45" w:rsidP="00311702">
      <w:pPr>
        <w:pStyle w:val="3GPPHeader"/>
      </w:pPr>
      <w:r w:rsidRPr="00CE30E7">
        <w:t>Title:</w:t>
      </w:r>
      <w:r w:rsidR="00E90E49" w:rsidRPr="00CE30E7">
        <w:tab/>
      </w:r>
      <w:r w:rsidR="005C0B47">
        <w:t xml:space="preserve">Channel Model </w:t>
      </w:r>
      <w:r w:rsidR="00457D24">
        <w:t>Adaptation</w:t>
      </w:r>
      <w:r w:rsidR="002D4350">
        <w:t xml:space="preserve"> and </w:t>
      </w:r>
      <w:r w:rsidR="00457D24">
        <w:t>Extension</w:t>
      </w:r>
      <w:r w:rsidR="005C0B47">
        <w:t xml:space="preserve"> of TR 38.901 for 7-24 GHz</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2172E63E" w14:textId="7DB3A392" w:rsidR="002D4350" w:rsidRDefault="00E00129" w:rsidP="002D4350">
      <w:pPr>
        <w:jc w:val="both"/>
      </w:pPr>
      <w:r>
        <w:t>In RAN #1</w:t>
      </w:r>
      <w:r w:rsidR="002D2038">
        <w:t>02</w:t>
      </w:r>
      <w:r>
        <w:t xml:space="preserve"> meeting</w:t>
      </w:r>
      <w:r w:rsidR="00385112">
        <w:t xml:space="preserve">, </w:t>
      </w:r>
      <w:r w:rsidR="002D2038">
        <w:t xml:space="preserve">the </w:t>
      </w:r>
      <w:r w:rsidR="005C0B47">
        <w:t>S</w:t>
      </w:r>
      <w:r w:rsidR="002D2038">
        <w:t>ID of Release 19</w:t>
      </w:r>
      <w:r w:rsidR="005C0B47">
        <w:t xml:space="preserve"> NR channel modelling enhancements for 7-24 GHz </w:t>
      </w:r>
      <w:r w:rsidR="002D2038">
        <w:t xml:space="preserve">was agreed </w:t>
      </w:r>
      <w:r w:rsidR="002D2038">
        <w:fldChar w:fldCharType="begin"/>
      </w:r>
      <w:r w:rsidR="002D2038">
        <w:instrText xml:space="preserve"> REF _Ref146048113 \r \h </w:instrText>
      </w:r>
      <w:r w:rsidR="002D2038">
        <w:fldChar w:fldCharType="separate"/>
      </w:r>
      <w:r w:rsidR="00FF3345">
        <w:t>[1]</w:t>
      </w:r>
      <w:r w:rsidR="002D2038">
        <w:fldChar w:fldCharType="end"/>
      </w:r>
      <w:r w:rsidR="002D2038">
        <w:t xml:space="preserve">. One objective of the </w:t>
      </w:r>
      <w:r w:rsidR="005C0B47">
        <w:t>S</w:t>
      </w:r>
      <w:r w:rsidR="002D2038">
        <w:t xml:space="preserve">ID is </w:t>
      </w:r>
      <w:r w:rsidR="00457D24">
        <w:t xml:space="preserve">adapting/extending </w:t>
      </w:r>
      <w:r w:rsidR="005C0B47">
        <w:t>the channel model of TR 38.901 at least for 7-24 GHz</w:t>
      </w:r>
      <w:r w:rsidR="002D2038">
        <w:t xml:space="preserve">. </w:t>
      </w:r>
      <w:r w:rsidR="002D4350">
        <w:t xml:space="preserve">In RAN1 #116bis meeting </w:t>
      </w:r>
      <w:r w:rsidR="002D4350">
        <w:fldChar w:fldCharType="begin"/>
      </w:r>
      <w:r w:rsidR="002D4350">
        <w:instrText xml:space="preserve"> REF _Ref146638431 \r \h </w:instrText>
      </w:r>
      <w:r w:rsidR="002D4350">
        <w:fldChar w:fldCharType="separate"/>
      </w:r>
      <w:r w:rsidR="00FF3345">
        <w:t>[2]</w:t>
      </w:r>
      <w:r w:rsidR="002D4350">
        <w:fldChar w:fldCharType="end"/>
      </w:r>
      <w:r w:rsidR="002D4350">
        <w:t>, the following conclusions and agreements were made.</w:t>
      </w:r>
    </w:p>
    <w:p w14:paraId="7364F9C2" w14:textId="77777777" w:rsidR="00C151AD" w:rsidRPr="002D4350" w:rsidRDefault="00C151AD" w:rsidP="002D4350">
      <w:pPr>
        <w:jc w:val="both"/>
      </w:pPr>
    </w:p>
    <w:p w14:paraId="371CF168" w14:textId="77777777" w:rsidR="002D4350" w:rsidRPr="002D4350" w:rsidRDefault="002D4350" w:rsidP="002D4350">
      <w:pPr>
        <w:jc w:val="both"/>
        <w:rPr>
          <w:rFonts w:eastAsia="DengXian"/>
          <w:highlight w:val="green"/>
        </w:rPr>
      </w:pPr>
      <w:r w:rsidRPr="002D4350">
        <w:rPr>
          <w:rFonts w:eastAsia="DengXian"/>
          <w:highlight w:val="green"/>
        </w:rPr>
        <w:t>Agreement</w:t>
      </w:r>
    </w:p>
    <w:p w14:paraId="6C65F400" w14:textId="77777777" w:rsidR="002D4350" w:rsidRPr="002D4350" w:rsidRDefault="002D4350" w:rsidP="002D4350">
      <w:pPr>
        <w:jc w:val="both"/>
      </w:pPr>
      <w:r w:rsidRPr="002D4350">
        <w:t>The antenna array is assumed for the near-field study.</w:t>
      </w:r>
    </w:p>
    <w:p w14:paraId="451AC6D1" w14:textId="77777777" w:rsidR="002D4350" w:rsidRDefault="002D4350" w:rsidP="002D4350">
      <w:pPr>
        <w:jc w:val="both"/>
        <w:rPr>
          <w:rFonts w:eastAsia="DengXian"/>
          <w:highlight w:val="green"/>
        </w:rPr>
      </w:pPr>
    </w:p>
    <w:p w14:paraId="1E4EA04F" w14:textId="5CB5CA32" w:rsidR="002D4350" w:rsidRPr="002D4350" w:rsidRDefault="002D4350" w:rsidP="002D4350">
      <w:pPr>
        <w:jc w:val="both"/>
        <w:rPr>
          <w:rFonts w:eastAsia="DengXian"/>
          <w:highlight w:val="green"/>
        </w:rPr>
      </w:pPr>
      <w:r w:rsidRPr="002D4350">
        <w:rPr>
          <w:rFonts w:eastAsia="DengXian"/>
          <w:highlight w:val="green"/>
        </w:rPr>
        <w:t>Agreement</w:t>
      </w:r>
    </w:p>
    <w:p w14:paraId="4968B75D" w14:textId="77777777" w:rsidR="002D4350" w:rsidRPr="002D4350" w:rsidRDefault="002D4350" w:rsidP="002D4350">
      <w:pPr>
        <w:jc w:val="both"/>
      </w:pPr>
      <w:r w:rsidRPr="002D4350">
        <w:t xml:space="preserve">For the </w:t>
      </w:r>
      <w:r w:rsidRPr="002D4350">
        <w:rPr>
          <w:rFonts w:eastAsia="DengXian"/>
        </w:rPr>
        <w:t xml:space="preserve">study of </w:t>
      </w:r>
      <w:r w:rsidRPr="002D4350">
        <w:t>near-field channel mode</w:t>
      </w:r>
      <w:r w:rsidRPr="002D4350">
        <w:rPr>
          <w:rFonts w:eastAsia="DengXian"/>
        </w:rPr>
        <w:t>l</w:t>
      </w:r>
      <w:r w:rsidRPr="002D4350">
        <w:t>ling, at least following aspects should be considered:</w:t>
      </w:r>
    </w:p>
    <w:p w14:paraId="514F3B42" w14:textId="77777777" w:rsidR="002D4350" w:rsidRPr="002D4350" w:rsidRDefault="002D4350" w:rsidP="002D4350">
      <w:pPr>
        <w:numPr>
          <w:ilvl w:val="0"/>
          <w:numId w:val="45"/>
        </w:numPr>
        <w:jc w:val="both"/>
      </w:pPr>
      <w:r w:rsidRPr="002D4350">
        <w:t>Whether/How to define the near-field region</w:t>
      </w:r>
    </w:p>
    <w:p w14:paraId="2DB9DA2B" w14:textId="4FCF51BB" w:rsidR="002D4350" w:rsidRDefault="002D4350" w:rsidP="002D4350">
      <w:pPr>
        <w:numPr>
          <w:ilvl w:val="0"/>
          <w:numId w:val="45"/>
        </w:numPr>
        <w:jc w:val="both"/>
      </w:pPr>
      <w:r w:rsidRPr="002D4350">
        <w:t>The parameters variation for each ray/cluster across different antenna element pairs</w:t>
      </w:r>
    </w:p>
    <w:p w14:paraId="3F1559F4" w14:textId="77777777" w:rsidR="002D4350" w:rsidRPr="002D4350" w:rsidRDefault="002D4350" w:rsidP="002D4350">
      <w:pPr>
        <w:ind w:left="440"/>
        <w:jc w:val="both"/>
      </w:pPr>
    </w:p>
    <w:p w14:paraId="4DF36961" w14:textId="77777777" w:rsidR="002D4350" w:rsidRPr="002D4350" w:rsidRDefault="002D4350" w:rsidP="002D4350">
      <w:pPr>
        <w:jc w:val="both"/>
        <w:rPr>
          <w:rFonts w:eastAsia="DengXian"/>
          <w:highlight w:val="green"/>
        </w:rPr>
      </w:pPr>
      <w:r w:rsidRPr="002D4350">
        <w:rPr>
          <w:rFonts w:eastAsia="DengXian"/>
          <w:highlight w:val="green"/>
        </w:rPr>
        <w:t>Agreement</w:t>
      </w:r>
    </w:p>
    <w:p w14:paraId="0E1E8C34" w14:textId="77777777" w:rsidR="002D4350" w:rsidRPr="002D4350" w:rsidRDefault="002D4350" w:rsidP="002D4350">
      <w:pPr>
        <w:jc w:val="both"/>
      </w:pPr>
      <w:r w:rsidRPr="002D4350">
        <w:t>The following scenarios defined in TR38.901 should be considered for the study/modelling of near-field.</w:t>
      </w:r>
    </w:p>
    <w:p w14:paraId="44F551D3" w14:textId="47EB0FF6" w:rsidR="002D4350" w:rsidRPr="002D4350" w:rsidRDefault="002D4350" w:rsidP="002D4350">
      <w:pPr>
        <w:numPr>
          <w:ilvl w:val="0"/>
          <w:numId w:val="45"/>
        </w:numPr>
        <w:jc w:val="both"/>
      </w:pPr>
      <w:r w:rsidRPr="002D4350">
        <w:t>UMa,</w:t>
      </w:r>
      <w:r>
        <w:t xml:space="preserve"> </w:t>
      </w:r>
      <w:proofErr w:type="spellStart"/>
      <w:r w:rsidRPr="002D4350">
        <w:t>UMi</w:t>
      </w:r>
      <w:proofErr w:type="spellEnd"/>
      <w:r w:rsidRPr="002D4350">
        <w:t>, Indoor office and Indoor factory</w:t>
      </w:r>
    </w:p>
    <w:p w14:paraId="1250E891" w14:textId="77777777" w:rsidR="002D4350" w:rsidRDefault="002D4350" w:rsidP="002D4350">
      <w:pPr>
        <w:numPr>
          <w:ilvl w:val="0"/>
          <w:numId w:val="45"/>
        </w:numPr>
        <w:jc w:val="both"/>
      </w:pPr>
      <w:r w:rsidRPr="002D4350">
        <w:t xml:space="preserve">FFS: </w:t>
      </w:r>
      <w:proofErr w:type="spellStart"/>
      <w:r w:rsidRPr="002D4350">
        <w:t>RMa</w:t>
      </w:r>
      <w:proofErr w:type="spellEnd"/>
      <w:r w:rsidRPr="002D4350">
        <w:t xml:space="preserve"> and other new scenarios</w:t>
      </w:r>
    </w:p>
    <w:p w14:paraId="65071B78" w14:textId="77777777" w:rsidR="002D4350" w:rsidRPr="002D4350" w:rsidRDefault="002D4350" w:rsidP="002D4350">
      <w:pPr>
        <w:ind w:left="440"/>
        <w:jc w:val="both"/>
      </w:pPr>
    </w:p>
    <w:p w14:paraId="44F6BF25" w14:textId="77777777" w:rsidR="002D4350" w:rsidRPr="002D4350" w:rsidRDefault="002D4350" w:rsidP="002D4350">
      <w:pPr>
        <w:jc w:val="both"/>
        <w:rPr>
          <w:rFonts w:eastAsia="DengXian"/>
          <w:highlight w:val="green"/>
        </w:rPr>
      </w:pPr>
      <w:r w:rsidRPr="002D4350">
        <w:rPr>
          <w:rFonts w:eastAsia="DengXian"/>
          <w:highlight w:val="green"/>
        </w:rPr>
        <w:t>Agreement</w:t>
      </w:r>
    </w:p>
    <w:p w14:paraId="490FB852" w14:textId="77777777" w:rsidR="002D4350" w:rsidRPr="002D4350" w:rsidRDefault="002D4350" w:rsidP="002D4350">
      <w:pPr>
        <w:jc w:val="both"/>
      </w:pPr>
      <w:r w:rsidRPr="002D4350">
        <w:t>For the assumption on the aperture size of antenna array, the following is considered as reference for channel model study.</w:t>
      </w:r>
    </w:p>
    <w:p w14:paraId="7B1EFF5F" w14:textId="506055B7" w:rsidR="002D4350" w:rsidRPr="002D4350" w:rsidRDefault="002D4350" w:rsidP="002D4350">
      <w:pPr>
        <w:numPr>
          <w:ilvl w:val="0"/>
          <w:numId w:val="45"/>
        </w:numPr>
        <w:jc w:val="both"/>
      </w:pPr>
      <w:r w:rsidRPr="002D4350">
        <w:t>up to [TBD] m</w:t>
      </w:r>
      <w:r w:rsidRPr="002D4350">
        <w:rPr>
          <w:rFonts w:eastAsia="DengXian"/>
        </w:rPr>
        <w:t xml:space="preserve">, or </w:t>
      </w:r>
      <w:r w:rsidRPr="002D4350">
        <w:t>[TBD] lam</w:t>
      </w:r>
      <w:r w:rsidRPr="002D4350">
        <w:rPr>
          <w:rFonts w:eastAsia="DengXian"/>
        </w:rPr>
        <w:t>bda</w:t>
      </w:r>
      <w:r w:rsidRPr="002D4350">
        <w:t xml:space="preserve"> for </w:t>
      </w:r>
      <w:proofErr w:type="spellStart"/>
      <w:r w:rsidRPr="002D4350">
        <w:t>UMi</w:t>
      </w:r>
      <w:proofErr w:type="spellEnd"/>
    </w:p>
    <w:p w14:paraId="6F37DAB1" w14:textId="77777777" w:rsidR="002D4350" w:rsidRPr="002D4350" w:rsidRDefault="002D4350" w:rsidP="002D4350">
      <w:pPr>
        <w:numPr>
          <w:ilvl w:val="0"/>
          <w:numId w:val="45"/>
        </w:numPr>
        <w:jc w:val="both"/>
      </w:pPr>
      <w:r w:rsidRPr="002D4350">
        <w:t>up to [TBD] m</w:t>
      </w:r>
      <w:r w:rsidRPr="002D4350">
        <w:rPr>
          <w:rFonts w:eastAsia="DengXian"/>
        </w:rPr>
        <w:t xml:space="preserve">, or </w:t>
      </w:r>
      <w:r w:rsidRPr="002D4350">
        <w:t>[TBD] lam</w:t>
      </w:r>
      <w:r w:rsidRPr="002D4350">
        <w:rPr>
          <w:rFonts w:eastAsia="DengXian"/>
        </w:rPr>
        <w:t>bd</w:t>
      </w:r>
      <w:r w:rsidRPr="002D4350">
        <w:t>a for UMa</w:t>
      </w:r>
    </w:p>
    <w:p w14:paraId="4CCDA9D1" w14:textId="1AC52DA7" w:rsidR="002D4350" w:rsidRPr="002D4350" w:rsidRDefault="002D4350" w:rsidP="002D4350">
      <w:pPr>
        <w:numPr>
          <w:ilvl w:val="0"/>
          <w:numId w:val="45"/>
        </w:numPr>
        <w:jc w:val="both"/>
      </w:pPr>
      <w:r w:rsidRPr="002D4350">
        <w:t>up to [TBD] m</w:t>
      </w:r>
      <w:r w:rsidRPr="002D4350">
        <w:rPr>
          <w:rFonts w:eastAsia="DengXian"/>
        </w:rPr>
        <w:t xml:space="preserve">, or </w:t>
      </w:r>
      <w:r w:rsidRPr="002D4350">
        <w:t>[TBD] lam</w:t>
      </w:r>
      <w:r w:rsidRPr="002D4350">
        <w:rPr>
          <w:rFonts w:eastAsia="DengXian"/>
        </w:rPr>
        <w:t>bd</w:t>
      </w:r>
      <w:r w:rsidRPr="002D4350">
        <w:t>a for Indoor office</w:t>
      </w:r>
    </w:p>
    <w:p w14:paraId="08F897F6" w14:textId="77777777" w:rsidR="002D4350" w:rsidRPr="002D4350" w:rsidRDefault="002D4350" w:rsidP="002D4350">
      <w:pPr>
        <w:numPr>
          <w:ilvl w:val="0"/>
          <w:numId w:val="45"/>
        </w:numPr>
        <w:jc w:val="both"/>
      </w:pPr>
      <w:r w:rsidRPr="002D4350">
        <w:t>up to [TBD] m</w:t>
      </w:r>
      <w:r w:rsidRPr="002D4350">
        <w:rPr>
          <w:rFonts w:eastAsia="DengXian"/>
        </w:rPr>
        <w:t xml:space="preserve">, or </w:t>
      </w:r>
      <w:r w:rsidRPr="002D4350">
        <w:t>[TBD] lam</w:t>
      </w:r>
      <w:r w:rsidRPr="002D4350">
        <w:rPr>
          <w:rFonts w:eastAsia="DengXian"/>
        </w:rPr>
        <w:t>bd</w:t>
      </w:r>
      <w:r w:rsidRPr="002D4350">
        <w:t>a for Indoor factory</w:t>
      </w:r>
    </w:p>
    <w:p w14:paraId="1482A045" w14:textId="77777777" w:rsidR="002D4350" w:rsidRPr="002D4350" w:rsidRDefault="002D4350" w:rsidP="002D4350">
      <w:pPr>
        <w:jc w:val="both"/>
        <w:rPr>
          <w:rFonts w:eastAsia="DengXian"/>
        </w:rPr>
      </w:pPr>
    </w:p>
    <w:p w14:paraId="724B42E4" w14:textId="77777777" w:rsidR="002D4350" w:rsidRPr="002D4350" w:rsidRDefault="002D4350" w:rsidP="002D4350">
      <w:pPr>
        <w:jc w:val="both"/>
        <w:rPr>
          <w:rFonts w:eastAsia="DengXian"/>
          <w:highlight w:val="green"/>
        </w:rPr>
      </w:pPr>
      <w:r w:rsidRPr="002D4350">
        <w:rPr>
          <w:rFonts w:eastAsia="DengXian"/>
          <w:highlight w:val="green"/>
        </w:rPr>
        <w:t>Agreement</w:t>
      </w:r>
    </w:p>
    <w:p w14:paraId="4C521E23" w14:textId="77777777" w:rsidR="002D4350" w:rsidRPr="002D4350" w:rsidRDefault="002D4350" w:rsidP="002D4350">
      <w:pPr>
        <w:jc w:val="both"/>
        <w:rPr>
          <w:rFonts w:eastAsia="DengXian"/>
        </w:rPr>
      </w:pPr>
      <w:r w:rsidRPr="002D4350">
        <w:rPr>
          <w:rFonts w:eastAsia="DengXian"/>
        </w:rPr>
        <w:t>For the near-field channel model:</w:t>
      </w:r>
    </w:p>
    <w:p w14:paraId="055B018E" w14:textId="77777777" w:rsidR="002D4350" w:rsidRPr="002D4350" w:rsidRDefault="002D4350" w:rsidP="002D4350">
      <w:pPr>
        <w:numPr>
          <w:ilvl w:val="0"/>
          <w:numId w:val="45"/>
        </w:numPr>
        <w:jc w:val="both"/>
      </w:pPr>
      <w:r w:rsidRPr="002D4350">
        <w:t>The impact of the assumption of wavefront is only considered from the perspective of antenna array.</w:t>
      </w:r>
    </w:p>
    <w:p w14:paraId="0F575A17" w14:textId="77777777" w:rsidR="002D4350" w:rsidRPr="002D4350" w:rsidRDefault="002D4350" w:rsidP="002D4350">
      <w:pPr>
        <w:numPr>
          <w:ilvl w:val="0"/>
          <w:numId w:val="45"/>
        </w:numPr>
        <w:jc w:val="both"/>
      </w:pPr>
      <w:r w:rsidRPr="002D4350">
        <w:t xml:space="preserve">The near field for each element within the antenna array is not considered in this SI. </w:t>
      </w:r>
    </w:p>
    <w:p w14:paraId="2527CBFF" w14:textId="77777777" w:rsidR="002D4350" w:rsidRPr="002D4350" w:rsidRDefault="002D4350" w:rsidP="002D4350">
      <w:pPr>
        <w:jc w:val="both"/>
        <w:rPr>
          <w:rFonts w:eastAsia="DengXian"/>
        </w:rPr>
      </w:pPr>
    </w:p>
    <w:p w14:paraId="02C9AC7D" w14:textId="77777777" w:rsidR="002D4350" w:rsidRPr="002D4350" w:rsidRDefault="002D4350" w:rsidP="002D4350">
      <w:pPr>
        <w:jc w:val="both"/>
        <w:rPr>
          <w:rFonts w:eastAsia="DengXian"/>
          <w:highlight w:val="green"/>
        </w:rPr>
      </w:pPr>
      <w:r w:rsidRPr="002D4350">
        <w:rPr>
          <w:rFonts w:eastAsia="DengXian"/>
          <w:highlight w:val="green"/>
        </w:rPr>
        <w:t>Agreement</w:t>
      </w:r>
    </w:p>
    <w:p w14:paraId="0DEAE964" w14:textId="77777777" w:rsidR="002D4350" w:rsidRPr="002D4350" w:rsidRDefault="002D4350" w:rsidP="002D4350">
      <w:pPr>
        <w:jc w:val="both"/>
        <w:rPr>
          <w:rFonts w:eastAsia="DengXian"/>
        </w:rPr>
      </w:pPr>
      <w:r w:rsidRPr="002D4350">
        <w:rPr>
          <w:rFonts w:eastAsia="DengXian"/>
        </w:rPr>
        <w:lastRenderedPageBreak/>
        <w:t>For near-field channel model, RAN1 strives to design a unified model to explicitly reflect the new properties of near- and existing properties of far-field under the structure of existing stochastic model TR 38.901.</w:t>
      </w:r>
    </w:p>
    <w:p w14:paraId="08085ABB" w14:textId="77777777" w:rsidR="002D4350" w:rsidRPr="002D4350" w:rsidRDefault="002D4350" w:rsidP="002D4350">
      <w:pPr>
        <w:numPr>
          <w:ilvl w:val="0"/>
          <w:numId w:val="45"/>
        </w:numPr>
        <w:jc w:val="both"/>
      </w:pPr>
      <w:r w:rsidRPr="002D4350">
        <w:t xml:space="preserve">FFS: </w:t>
      </w:r>
      <w:r w:rsidRPr="002D4350">
        <w:rPr>
          <w:rFonts w:eastAsia="DengXian"/>
        </w:rPr>
        <w:t>whether t</w:t>
      </w:r>
      <w:r w:rsidRPr="002D4350">
        <w:t xml:space="preserve">he same or different implementations, e.g., procedures/equations, are used for near- and far-field channel realization </w:t>
      </w:r>
    </w:p>
    <w:p w14:paraId="21DA5E47" w14:textId="77777777" w:rsidR="002D4350" w:rsidRPr="002D4350" w:rsidRDefault="002D4350" w:rsidP="002D4350">
      <w:pPr>
        <w:jc w:val="both"/>
        <w:rPr>
          <w:rFonts w:eastAsia="DengXian"/>
        </w:rPr>
      </w:pPr>
    </w:p>
    <w:p w14:paraId="515F9013" w14:textId="77777777" w:rsidR="002D4350" w:rsidRPr="002D4350" w:rsidRDefault="002D4350" w:rsidP="002D4350">
      <w:pPr>
        <w:jc w:val="both"/>
        <w:rPr>
          <w:rFonts w:eastAsia="DengXian"/>
          <w:highlight w:val="green"/>
        </w:rPr>
      </w:pPr>
      <w:r w:rsidRPr="002D4350">
        <w:rPr>
          <w:rFonts w:eastAsia="DengXian"/>
          <w:highlight w:val="green"/>
        </w:rPr>
        <w:t>Agreement</w:t>
      </w:r>
    </w:p>
    <w:p w14:paraId="5A271147" w14:textId="77777777" w:rsidR="002D4350" w:rsidRPr="002D4350" w:rsidRDefault="002D4350" w:rsidP="002D4350">
      <w:pPr>
        <w:jc w:val="both"/>
        <w:rPr>
          <w:rFonts w:eastAsia="DengXian"/>
        </w:rPr>
      </w:pPr>
      <w:r w:rsidRPr="002D4350">
        <w:rPr>
          <w:rFonts w:eastAsia="DengXian"/>
        </w:rPr>
        <w:t>The near- or far-field condition should be studied for the direct path and non-direct paths between BS and UE.</w:t>
      </w:r>
    </w:p>
    <w:p w14:paraId="27CEAB9C" w14:textId="77777777" w:rsidR="002D4350" w:rsidRPr="002D4350" w:rsidRDefault="002D4350" w:rsidP="002D4350">
      <w:pPr>
        <w:numPr>
          <w:ilvl w:val="0"/>
          <w:numId w:val="45"/>
        </w:numPr>
        <w:jc w:val="both"/>
      </w:pPr>
      <w:r w:rsidRPr="002D4350">
        <w:t>The near-/far-field condition for the direct path may be assessed by using the 3D BS-UE distance.</w:t>
      </w:r>
    </w:p>
    <w:p w14:paraId="3E9A38D8" w14:textId="77777777" w:rsidR="002D4350" w:rsidRPr="002D4350" w:rsidRDefault="002D4350" w:rsidP="002D4350">
      <w:pPr>
        <w:numPr>
          <w:ilvl w:val="1"/>
          <w:numId w:val="45"/>
        </w:numPr>
        <w:jc w:val="both"/>
      </w:pPr>
      <w:r w:rsidRPr="002D4350">
        <w:t>FFS: The determination of near-/far-field condition for the non-direct paths</w:t>
      </w:r>
    </w:p>
    <w:p w14:paraId="3D8380A6" w14:textId="77777777" w:rsidR="002D4350" w:rsidRPr="002D4350" w:rsidRDefault="002D4350" w:rsidP="002D4350">
      <w:pPr>
        <w:numPr>
          <w:ilvl w:val="0"/>
          <w:numId w:val="45"/>
        </w:numPr>
        <w:jc w:val="both"/>
      </w:pPr>
      <w:r w:rsidRPr="002D4350">
        <w:t>Note</w:t>
      </w:r>
      <w:r w:rsidRPr="002D4350">
        <w:rPr>
          <w:rFonts w:eastAsia="DengXian"/>
        </w:rPr>
        <w:t>:</w:t>
      </w:r>
      <w:r w:rsidRPr="002D4350">
        <w:t xml:space="preserve"> The direct path is </w:t>
      </w:r>
      <w:r w:rsidRPr="002D4350">
        <w:rPr>
          <w:rFonts w:eastAsia="DengXian"/>
        </w:rPr>
        <w:t xml:space="preserve">referring to </w:t>
      </w:r>
      <w:r w:rsidRPr="002D4350">
        <w:t xml:space="preserve">the </w:t>
      </w:r>
      <w:proofErr w:type="spellStart"/>
      <w:r w:rsidRPr="002D4350">
        <w:t>LoS</w:t>
      </w:r>
      <w:proofErr w:type="spellEnd"/>
      <w:r w:rsidRPr="002D4350">
        <w:t xml:space="preserve"> ray in the TR 38.901</w:t>
      </w:r>
      <w:r w:rsidRPr="002D4350">
        <w:rPr>
          <w:rFonts w:eastAsia="DengXian"/>
        </w:rPr>
        <w:t xml:space="preserve"> in principle</w:t>
      </w:r>
      <w:r w:rsidRPr="002D4350">
        <w:t>.</w:t>
      </w:r>
    </w:p>
    <w:p w14:paraId="721FBAC0" w14:textId="194392B8" w:rsidR="002D4350" w:rsidRPr="002D4350" w:rsidRDefault="002D4350" w:rsidP="002D4350">
      <w:pPr>
        <w:numPr>
          <w:ilvl w:val="0"/>
          <w:numId w:val="45"/>
        </w:numPr>
        <w:jc w:val="both"/>
      </w:pPr>
      <w:r w:rsidRPr="002D4350">
        <w:t>Note: The non-direct path</w:t>
      </w:r>
      <w:r w:rsidRPr="002D4350">
        <w:rPr>
          <w:rFonts w:eastAsia="DengXian"/>
        </w:rPr>
        <w:t xml:space="preserve">s </w:t>
      </w:r>
      <w:r w:rsidRPr="002D4350">
        <w:t xml:space="preserve">are </w:t>
      </w:r>
      <w:r w:rsidRPr="002D4350">
        <w:rPr>
          <w:rFonts w:eastAsia="DengXian"/>
        </w:rPr>
        <w:t xml:space="preserve">referring to </w:t>
      </w:r>
      <w:r w:rsidRPr="002D4350">
        <w:t>the cluster/ray(s</w:t>
      </w:r>
      <w:r w:rsidRPr="002D4350">
        <w:rPr>
          <w:rFonts w:eastAsia="DengXian"/>
        </w:rPr>
        <w:t xml:space="preserve">) without including </w:t>
      </w:r>
      <w:proofErr w:type="spellStart"/>
      <w:r w:rsidRPr="002D4350">
        <w:rPr>
          <w:rFonts w:eastAsia="DengXian"/>
        </w:rPr>
        <w:t>LoS</w:t>
      </w:r>
      <w:proofErr w:type="spellEnd"/>
      <w:r w:rsidRPr="002D4350">
        <w:rPr>
          <w:rFonts w:eastAsia="DengXian"/>
        </w:rPr>
        <w:t xml:space="preserve"> ray </w:t>
      </w:r>
      <w:r w:rsidRPr="002D4350">
        <w:t>in the TR 38.901.</w:t>
      </w:r>
    </w:p>
    <w:p w14:paraId="464C4AC4" w14:textId="77777777" w:rsidR="002D4350" w:rsidRPr="002D4350" w:rsidRDefault="002D4350" w:rsidP="002D4350">
      <w:pPr>
        <w:jc w:val="both"/>
        <w:rPr>
          <w:rFonts w:eastAsia="DengXian"/>
        </w:rPr>
      </w:pPr>
    </w:p>
    <w:p w14:paraId="77DD1425" w14:textId="77777777" w:rsidR="002D4350" w:rsidRPr="002D4350" w:rsidRDefault="002D4350" w:rsidP="002D4350">
      <w:pPr>
        <w:jc w:val="both"/>
        <w:rPr>
          <w:rFonts w:eastAsia="DengXian"/>
          <w:highlight w:val="green"/>
        </w:rPr>
      </w:pPr>
      <w:r w:rsidRPr="002D4350">
        <w:rPr>
          <w:rFonts w:eastAsia="DengXian"/>
          <w:highlight w:val="green"/>
        </w:rPr>
        <w:t xml:space="preserve">Agreement </w:t>
      </w:r>
    </w:p>
    <w:p w14:paraId="775AD290" w14:textId="77777777" w:rsidR="002D4350" w:rsidRPr="002D4350" w:rsidRDefault="002D4350" w:rsidP="002D4350">
      <w:pPr>
        <w:jc w:val="both"/>
        <w:rPr>
          <w:rFonts w:eastAsia="DengXian"/>
        </w:rPr>
      </w:pPr>
      <w:r w:rsidRPr="002D4350">
        <w:rPr>
          <w:rFonts w:eastAsia="DengXian"/>
        </w:rPr>
        <w:t xml:space="preserve">For near-field channel, if necessary, to model the following antenna element-wise channel parameters of direct path between TRP and UE, </w:t>
      </w:r>
    </w:p>
    <w:p w14:paraId="724CD991" w14:textId="77777777" w:rsidR="002D4350" w:rsidRPr="002D4350" w:rsidRDefault="002D4350" w:rsidP="002D4350">
      <w:pPr>
        <w:numPr>
          <w:ilvl w:val="0"/>
          <w:numId w:val="45"/>
        </w:numPr>
        <w:jc w:val="both"/>
      </w:pPr>
      <w:r w:rsidRPr="002D4350">
        <w:t xml:space="preserve">Angular domain parameters (i.e., </w:t>
      </w:r>
      <w:proofErr w:type="spellStart"/>
      <w:r w:rsidRPr="002D4350">
        <w:t>AoA</w:t>
      </w:r>
      <w:proofErr w:type="spellEnd"/>
      <w:r w:rsidRPr="002D4350">
        <w:t xml:space="preserve">, </w:t>
      </w:r>
      <w:proofErr w:type="spellStart"/>
      <w:r w:rsidRPr="002D4350">
        <w:t>AoD</w:t>
      </w:r>
      <w:proofErr w:type="spellEnd"/>
      <w:r w:rsidRPr="002D4350">
        <w:t xml:space="preserve">, </w:t>
      </w:r>
      <w:proofErr w:type="spellStart"/>
      <w:r w:rsidRPr="002D4350">
        <w:t>ZoA</w:t>
      </w:r>
      <w:proofErr w:type="spellEnd"/>
      <w:r w:rsidRPr="002D4350">
        <w:t xml:space="preserve">, </w:t>
      </w:r>
      <w:proofErr w:type="spellStart"/>
      <w:r w:rsidRPr="002D4350">
        <w:t>ZoD</w:t>
      </w:r>
      <w:proofErr w:type="spellEnd"/>
      <w:r w:rsidRPr="002D4350">
        <w:t xml:space="preserve">), Delay, </w:t>
      </w:r>
      <w:r w:rsidRPr="002D4350">
        <w:rPr>
          <w:rFonts w:eastAsia="DengXian"/>
        </w:rPr>
        <w:t>initial p</w:t>
      </w:r>
      <w:r w:rsidRPr="002D4350">
        <w:t>hase, Doppler shift, Amplitude</w:t>
      </w:r>
    </w:p>
    <w:p w14:paraId="0943883D" w14:textId="77777777" w:rsidR="002D4350" w:rsidRPr="002D4350" w:rsidRDefault="002D4350" w:rsidP="002D4350">
      <w:pPr>
        <w:numPr>
          <w:ilvl w:val="0"/>
          <w:numId w:val="45"/>
        </w:numPr>
        <w:jc w:val="both"/>
      </w:pPr>
      <w:r w:rsidRPr="002D4350">
        <w:t>FFS: Impacts on the polarization</w:t>
      </w:r>
    </w:p>
    <w:p w14:paraId="7ECE49AC" w14:textId="77777777" w:rsidR="002D4350" w:rsidRPr="002D4350" w:rsidRDefault="002D4350" w:rsidP="002D4350">
      <w:pPr>
        <w:jc w:val="both"/>
        <w:rPr>
          <w:rFonts w:eastAsia="DengXian"/>
        </w:rPr>
      </w:pPr>
      <w:r w:rsidRPr="002D4350">
        <w:rPr>
          <w:rFonts w:eastAsia="DengXian"/>
        </w:rPr>
        <w:t>The following options are considered:</w:t>
      </w:r>
    </w:p>
    <w:p w14:paraId="4AED508F" w14:textId="77777777" w:rsidR="002D4350" w:rsidRPr="002D4350" w:rsidRDefault="002D4350" w:rsidP="002D4350">
      <w:pPr>
        <w:numPr>
          <w:ilvl w:val="0"/>
          <w:numId w:val="45"/>
        </w:numPr>
        <w:jc w:val="both"/>
      </w:pPr>
      <w:r w:rsidRPr="002D4350">
        <w:t>Option-1: Determined by the locations of both TRP and UE.</w:t>
      </w:r>
    </w:p>
    <w:p w14:paraId="0D384835" w14:textId="77777777" w:rsidR="002D4350" w:rsidRPr="002D4350" w:rsidRDefault="002D4350" w:rsidP="002D4350">
      <w:pPr>
        <w:numPr>
          <w:ilvl w:val="0"/>
          <w:numId w:val="45"/>
        </w:numPr>
        <w:jc w:val="both"/>
      </w:pPr>
      <w:r w:rsidRPr="002D4350">
        <w:t xml:space="preserve">Option-2: Determined by the </w:t>
      </w:r>
      <w:r w:rsidRPr="002D4350">
        <w:rPr>
          <w:rFonts w:eastAsia="DengXian"/>
        </w:rPr>
        <w:t xml:space="preserve">antenna </w:t>
      </w:r>
      <w:r w:rsidRPr="002D4350">
        <w:t>element locations of both TRP and UE</w:t>
      </w:r>
    </w:p>
    <w:p w14:paraId="4336CCF4" w14:textId="77777777" w:rsidR="002D4350" w:rsidRPr="002D4350" w:rsidRDefault="002D4350" w:rsidP="002D4350">
      <w:pPr>
        <w:jc w:val="both"/>
        <w:rPr>
          <w:rFonts w:eastAsia="DengXian"/>
        </w:rPr>
      </w:pPr>
    </w:p>
    <w:p w14:paraId="28619338" w14:textId="77777777" w:rsidR="002D4350" w:rsidRPr="002D4350" w:rsidRDefault="002D4350" w:rsidP="002D4350">
      <w:pPr>
        <w:jc w:val="both"/>
        <w:rPr>
          <w:rFonts w:eastAsia="DengXian"/>
          <w:highlight w:val="green"/>
        </w:rPr>
      </w:pPr>
      <w:r w:rsidRPr="002D4350">
        <w:rPr>
          <w:rFonts w:eastAsia="DengXian"/>
          <w:highlight w:val="green"/>
        </w:rPr>
        <w:t>Agreement</w:t>
      </w:r>
    </w:p>
    <w:p w14:paraId="4259985F" w14:textId="77777777" w:rsidR="002D4350" w:rsidRPr="002D4350" w:rsidRDefault="002D4350" w:rsidP="002D4350">
      <w:pPr>
        <w:jc w:val="both"/>
        <w:rPr>
          <w:rFonts w:eastAsia="DengXian"/>
        </w:rPr>
      </w:pPr>
      <w:r w:rsidRPr="002D4350">
        <w:rPr>
          <w:rFonts w:eastAsia="DengXian"/>
        </w:rPr>
        <w:t>The following scenarios defined in TR38.901 should be considered for studying/modelling of spatial non-stationarity</w:t>
      </w:r>
    </w:p>
    <w:p w14:paraId="023743DD" w14:textId="77777777" w:rsidR="002D4350" w:rsidRPr="002D4350" w:rsidRDefault="002D4350" w:rsidP="002D4350">
      <w:pPr>
        <w:numPr>
          <w:ilvl w:val="0"/>
          <w:numId w:val="45"/>
        </w:numPr>
        <w:jc w:val="both"/>
      </w:pPr>
      <w:proofErr w:type="spellStart"/>
      <w:r w:rsidRPr="002D4350">
        <w:t>UMi</w:t>
      </w:r>
      <w:proofErr w:type="spellEnd"/>
      <w:r w:rsidRPr="002D4350">
        <w:t>, UMa, Indoor office and Indoor factory</w:t>
      </w:r>
    </w:p>
    <w:p w14:paraId="1D33367A" w14:textId="77777777" w:rsidR="002D4350" w:rsidRPr="002D4350" w:rsidRDefault="002D4350" w:rsidP="002D4350">
      <w:pPr>
        <w:numPr>
          <w:ilvl w:val="0"/>
          <w:numId w:val="45"/>
        </w:numPr>
        <w:jc w:val="both"/>
      </w:pPr>
      <w:r w:rsidRPr="002D4350">
        <w:t xml:space="preserve">FFS: </w:t>
      </w:r>
      <w:proofErr w:type="spellStart"/>
      <w:r w:rsidRPr="002D4350">
        <w:t>RMa</w:t>
      </w:r>
      <w:proofErr w:type="spellEnd"/>
      <w:r w:rsidRPr="002D4350">
        <w:t xml:space="preserve"> and other new scenarios</w:t>
      </w:r>
    </w:p>
    <w:p w14:paraId="50BD9AD9" w14:textId="77777777" w:rsidR="002D4350" w:rsidRPr="002D4350" w:rsidRDefault="002D4350" w:rsidP="002D4350">
      <w:pPr>
        <w:jc w:val="both"/>
        <w:rPr>
          <w:b/>
          <w:bCs/>
          <w:i/>
          <w:iCs/>
          <w:highlight w:val="yellow"/>
        </w:rPr>
      </w:pPr>
    </w:p>
    <w:p w14:paraId="14EA4DFA" w14:textId="77777777" w:rsidR="002D4350" w:rsidRPr="002D4350" w:rsidRDefault="002D4350" w:rsidP="002D4350">
      <w:pPr>
        <w:jc w:val="both"/>
        <w:rPr>
          <w:rFonts w:eastAsia="DengXian"/>
          <w:highlight w:val="green"/>
        </w:rPr>
      </w:pPr>
      <w:r w:rsidRPr="002D4350">
        <w:rPr>
          <w:rFonts w:eastAsia="DengXian"/>
          <w:highlight w:val="green"/>
        </w:rPr>
        <w:t>Agreement</w:t>
      </w:r>
    </w:p>
    <w:p w14:paraId="7BBE2CCF" w14:textId="77777777" w:rsidR="002D4350" w:rsidRPr="002D4350" w:rsidRDefault="002D4350" w:rsidP="002D4350">
      <w:pPr>
        <w:jc w:val="both"/>
        <w:rPr>
          <w:rFonts w:eastAsia="DengXian"/>
        </w:rPr>
      </w:pPr>
      <w:r w:rsidRPr="002D4350">
        <w:rPr>
          <w:rFonts w:eastAsia="DengXian"/>
        </w:rPr>
        <w:t>For the modelling of spatial non-stationarity, at least the following options can be studied to identify the impacted ray/cluster and element-pair link:</w:t>
      </w:r>
    </w:p>
    <w:p w14:paraId="49C9FBDB" w14:textId="77777777" w:rsidR="002D4350" w:rsidRPr="002D4350" w:rsidRDefault="002D4350" w:rsidP="002D4350">
      <w:pPr>
        <w:numPr>
          <w:ilvl w:val="0"/>
          <w:numId w:val="45"/>
        </w:numPr>
        <w:jc w:val="both"/>
      </w:pPr>
      <w:r w:rsidRPr="002D4350">
        <w:t>Option 1: Introducing</w:t>
      </w:r>
      <w:r w:rsidRPr="002D4350">
        <w:rPr>
          <w:rFonts w:eastAsia="DengXian"/>
        </w:rPr>
        <w:t xml:space="preserve"> per</w:t>
      </w:r>
      <w:r w:rsidRPr="002D4350">
        <w:t xml:space="preserve"> ray/cluster the visible probability</w:t>
      </w:r>
      <w:r w:rsidRPr="002D4350">
        <w:rPr>
          <w:rFonts w:eastAsia="DengXian"/>
        </w:rPr>
        <w:t xml:space="preserve">, or visibility </w:t>
      </w:r>
      <w:r w:rsidRPr="002D4350">
        <w:t>region</w:t>
      </w:r>
      <w:r w:rsidRPr="002D4350">
        <w:rPr>
          <w:rFonts w:eastAsia="DengXian"/>
        </w:rPr>
        <w:t xml:space="preserve"> </w:t>
      </w:r>
      <w:r w:rsidRPr="002D4350">
        <w:t>for set of antenna element</w:t>
      </w:r>
    </w:p>
    <w:p w14:paraId="64CFE7BC" w14:textId="77777777" w:rsidR="002D4350" w:rsidRPr="002D4350" w:rsidRDefault="002D4350" w:rsidP="002D4350">
      <w:pPr>
        <w:numPr>
          <w:ilvl w:val="0"/>
          <w:numId w:val="45"/>
        </w:numPr>
        <w:jc w:val="both"/>
      </w:pPr>
      <w:r w:rsidRPr="002D4350">
        <w:t xml:space="preserve">Option 2: Introducing the </w:t>
      </w:r>
      <w:r w:rsidRPr="002D4350">
        <w:rPr>
          <w:rFonts w:eastAsia="DengXian"/>
        </w:rPr>
        <w:t xml:space="preserve">physical blocker to emulate the </w:t>
      </w:r>
      <w:r w:rsidRPr="002D4350">
        <w:t xml:space="preserve">blockage impact on the link for each element-pair   </w:t>
      </w:r>
    </w:p>
    <w:p w14:paraId="79C6C0A1" w14:textId="605F0BC0" w:rsidR="002D4350" w:rsidRPr="002D4350" w:rsidRDefault="002D4350" w:rsidP="002D4350">
      <w:pPr>
        <w:numPr>
          <w:ilvl w:val="0"/>
          <w:numId w:val="45"/>
        </w:numPr>
        <w:jc w:val="both"/>
      </w:pPr>
      <w:r w:rsidRPr="002D4350">
        <w:t>Note: The consistency across antenna elements and across clusters should be guaranteed.</w:t>
      </w:r>
      <w:r w:rsidRPr="00C72AF0">
        <w:t xml:space="preserve"> </w:t>
      </w:r>
    </w:p>
    <w:p w14:paraId="10A43555" w14:textId="77777777" w:rsidR="002D4350" w:rsidRDefault="002D4350" w:rsidP="00CD60DA">
      <w:pPr>
        <w:jc w:val="both"/>
      </w:pPr>
    </w:p>
    <w:p w14:paraId="65E8C13E" w14:textId="557A74D0"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5C0B47">
        <w:t xml:space="preserve">channel model </w:t>
      </w:r>
      <w:r w:rsidR="00457D24">
        <w:t>adaptation/extension</w:t>
      </w:r>
      <w:r w:rsidR="005C0B47">
        <w:t xml:space="preserve"> of TR 38.901 for 7-24 GHz</w:t>
      </w:r>
      <w:r w:rsidR="00385112">
        <w:t xml:space="preserve">. </w:t>
      </w:r>
    </w:p>
    <w:p w14:paraId="24797554" w14:textId="77777777" w:rsidR="004B697C" w:rsidRDefault="00EA5A5B" w:rsidP="000004DF">
      <w:pPr>
        <w:pStyle w:val="Heading1"/>
      </w:pPr>
      <w:r>
        <w:t>Discussion</w:t>
      </w:r>
    </w:p>
    <w:p w14:paraId="191767C9" w14:textId="058FE1D7" w:rsidR="00C4487A" w:rsidRDefault="00C4487A" w:rsidP="00C4487A">
      <w:pPr>
        <w:jc w:val="both"/>
      </w:pPr>
      <w:r>
        <w:t>According to the</w:t>
      </w:r>
      <w:r w:rsidR="004B697C">
        <w:t xml:space="preserve"> high-level timeline for 6G</w:t>
      </w:r>
      <w:r w:rsidR="00FF3345">
        <w:t xml:space="preserve"> </w:t>
      </w:r>
      <w:r w:rsidR="00FF3345">
        <w:fldChar w:fldCharType="begin"/>
      </w:r>
      <w:r w:rsidR="00FF3345">
        <w:instrText xml:space="preserve"> REF _Ref166225040 \r \h </w:instrText>
      </w:r>
      <w:r w:rsidR="00FF3345">
        <w:fldChar w:fldCharType="separate"/>
      </w:r>
      <w:r w:rsidR="00FF3345">
        <w:t>[3]</w:t>
      </w:r>
      <w:r w:rsidR="00FF3345">
        <w:fldChar w:fldCharType="end"/>
      </w:r>
      <w:r>
        <w:t xml:space="preserve">, the studies for 6G in 3GPP are expected to start from Release 20. </w:t>
      </w:r>
      <w:r w:rsidR="004B697C">
        <w:t xml:space="preserve">One candidate spectrum </w:t>
      </w:r>
      <w:r>
        <w:t>applicable</w:t>
      </w:r>
      <w:r w:rsidR="004B697C">
        <w:t xml:space="preserve"> for 6G</w:t>
      </w:r>
      <w:r>
        <w:t xml:space="preserve"> is 7-24 GHz. In preparation for 6G study, the channel model for 7-24 GHz needs to be examined.</w:t>
      </w:r>
    </w:p>
    <w:p w14:paraId="2C4734A4" w14:textId="77777777" w:rsidR="00C4487A" w:rsidRDefault="00C4487A" w:rsidP="00C4487A">
      <w:pPr>
        <w:jc w:val="both"/>
      </w:pPr>
    </w:p>
    <w:p w14:paraId="251B7F78" w14:textId="70DD26B6" w:rsidR="00C4487A" w:rsidRDefault="00C4487A" w:rsidP="00C4487A">
      <w:pPr>
        <w:jc w:val="both"/>
      </w:pPr>
      <w:r>
        <w:lastRenderedPageBreak/>
        <w:t>The channel model is provided in TR38.901</w:t>
      </w:r>
      <w:r w:rsidR="00FF3345">
        <w:fldChar w:fldCharType="begin"/>
      </w:r>
      <w:r w:rsidR="00FF3345">
        <w:instrText xml:space="preserve"> REF _Ref166225065 \r \h </w:instrText>
      </w:r>
      <w:r w:rsidR="00FF3345">
        <w:fldChar w:fldCharType="separate"/>
      </w:r>
      <w:r w:rsidR="00FF3345">
        <w:t>[4]</w:t>
      </w:r>
      <w:r w:rsidR="00FF3345">
        <w:fldChar w:fldCharType="end"/>
      </w:r>
      <w:r w:rsidR="00FF3345">
        <w:t>,</w:t>
      </w:r>
      <w:r>
        <w:t xml:space="preserve"> which covers frequencies from 0.5 GHz to 100 GHz. However, this channel model was established, mainly based on measurements deployed for sub-6 GHz and above 24 GHz. Hence, the validation of this channel model for 7-24 GHz needs to be verified via measurements. </w:t>
      </w:r>
    </w:p>
    <w:p w14:paraId="387C752E" w14:textId="77777777" w:rsidR="00C4487A" w:rsidRDefault="00C4487A" w:rsidP="00C4487A">
      <w:pPr>
        <w:jc w:val="both"/>
      </w:pPr>
    </w:p>
    <w:p w14:paraId="46B4FF55" w14:textId="2C48C825" w:rsidR="00C97F36" w:rsidRDefault="00C97F36" w:rsidP="00C4487A">
      <w:pPr>
        <w:jc w:val="both"/>
      </w:pPr>
      <w:r>
        <w:t xml:space="preserve">Also, it is mentioned in SID </w:t>
      </w:r>
      <w:r>
        <w:fldChar w:fldCharType="begin"/>
      </w:r>
      <w:r>
        <w:instrText xml:space="preserve"> REF _Ref146048113 \r \h </w:instrText>
      </w:r>
      <w:r>
        <w:fldChar w:fldCharType="separate"/>
      </w:r>
      <w:r w:rsidR="00FF3345">
        <w:t>[1]</w:t>
      </w:r>
      <w:r>
        <w:fldChar w:fldCharType="end"/>
      </w:r>
      <w:r>
        <w:t xml:space="preserve"> to extend the channel model of TR 38.901 at least for 7-24 GHz for applicable scenarios of near-field propagation and spatial non-stationarity. We shall discuss these two aspects in the following sub-sections. </w:t>
      </w:r>
    </w:p>
    <w:p w14:paraId="145EE776" w14:textId="77777777" w:rsidR="00C4487A" w:rsidRPr="004B697C" w:rsidRDefault="00C4487A" w:rsidP="00C4487A">
      <w:pPr>
        <w:jc w:val="both"/>
      </w:pPr>
    </w:p>
    <w:p w14:paraId="3B2B3911" w14:textId="163904CA" w:rsidR="004B697C" w:rsidRPr="004B697C" w:rsidRDefault="004B697C" w:rsidP="004B697C">
      <w:pPr>
        <w:pStyle w:val="Heading2"/>
      </w:pPr>
      <w:r w:rsidRPr="00457D24">
        <w:t>Near-field propagation</w:t>
      </w:r>
    </w:p>
    <w:p w14:paraId="37FA5B38" w14:textId="2918A110" w:rsidR="00C97F36" w:rsidRDefault="00C97F36" w:rsidP="00C97F36">
      <w:pPr>
        <w:jc w:val="both"/>
      </w:pPr>
      <w:r>
        <w:t>The existing channel model</w:t>
      </w:r>
      <w:r w:rsidR="00FF3345">
        <w:t xml:space="preserve"> </w:t>
      </w:r>
      <w:r w:rsidR="00FF3345">
        <w:fldChar w:fldCharType="begin"/>
      </w:r>
      <w:r w:rsidR="00FF3345">
        <w:instrText xml:space="preserve"> REF _Ref166225065 \r \h </w:instrText>
      </w:r>
      <w:r w:rsidR="00FF3345">
        <w:fldChar w:fldCharType="separate"/>
      </w:r>
      <w:r w:rsidR="00FF3345">
        <w:t>[4]</w:t>
      </w:r>
      <w:r w:rsidR="00FF3345">
        <w:fldChar w:fldCharType="end"/>
      </w:r>
      <w:r>
        <w:t xml:space="preserve"> assumes far-field propagation, which implies planar wave and linear phase. It is expected that extremely large antenna arrays (ELAA) will be deployed in 6G system to extend the cell coverage. This antenna aperture is largely increased in ELAA. </w:t>
      </w:r>
    </w:p>
    <w:p w14:paraId="1A8A5414" w14:textId="77777777" w:rsidR="00C97F36" w:rsidRDefault="00C97F36" w:rsidP="00C97F36">
      <w:pPr>
        <w:jc w:val="both"/>
      </w:pPr>
    </w:p>
    <w:p w14:paraId="47C849D9" w14:textId="6AEAD00B" w:rsidR="00C97F36" w:rsidRDefault="00C97F36" w:rsidP="004908AA">
      <w:pPr>
        <w:jc w:val="both"/>
      </w:pPr>
      <w:r>
        <w:t xml:space="preserve">It is known that far-field region and near-field region is separated at Rayleigh distance, given by </w:t>
      </w:r>
      <m:oMath>
        <m:r>
          <w:rPr>
            <w:rFonts w:ascii="Cambria Math" w:hAnsi="Cambria Math"/>
          </w:rPr>
          <m:t>R=</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oMath>
      <w:r>
        <w:t xml:space="preserve">, where </w:t>
      </w:r>
      <m:oMath>
        <m:r>
          <w:rPr>
            <w:rFonts w:ascii="Cambria Math" w:hAnsi="Cambria Math"/>
          </w:rPr>
          <m:t>D</m:t>
        </m:r>
      </m:oMath>
      <w:r>
        <w:t xml:space="preserve"> is antenna aperture size and </w:t>
      </w:r>
      <m:oMath>
        <m:r>
          <w:rPr>
            <w:rFonts w:ascii="Cambria Math" w:hAnsi="Cambria Math"/>
          </w:rPr>
          <m:t>λ</m:t>
        </m:r>
      </m:oMath>
      <w:r>
        <w:t xml:space="preserve"> is wavelength. Consider a simple example that the antenna aperture size is 1 meter and carrier frequency is 14 GHz. The Rayleigh distance is 93 meters. This distance is comparable with cell size, and hence, the near-field propagation should not be ignored as in the existing channel model. </w:t>
      </w:r>
    </w:p>
    <w:p w14:paraId="7CDEB6B6" w14:textId="77777777" w:rsidR="00C97F36" w:rsidRDefault="00C97F36" w:rsidP="004908AA">
      <w:pPr>
        <w:jc w:val="both"/>
      </w:pPr>
    </w:p>
    <w:p w14:paraId="4D4DA2A2" w14:textId="1FCC3B9A" w:rsidR="004908AA" w:rsidRDefault="004908AA" w:rsidP="004908AA">
      <w:pPr>
        <w:jc w:val="both"/>
      </w:pPr>
      <w:r>
        <w:t xml:space="preserve">The existing channel model </w:t>
      </w:r>
      <w:r w:rsidR="00FF3345">
        <w:fldChar w:fldCharType="begin"/>
      </w:r>
      <w:r w:rsidR="00FF3345">
        <w:instrText xml:space="preserve"> REF _Ref166225065 \r \h </w:instrText>
      </w:r>
      <w:r w:rsidR="00FF3345">
        <w:fldChar w:fldCharType="separate"/>
      </w:r>
      <w:r w:rsidR="00FF3345">
        <w:t>[4]</w:t>
      </w:r>
      <w:r w:rsidR="00FF3345">
        <w:fldChar w:fldCharType="end"/>
      </w:r>
      <w:r>
        <w:t xml:space="preserve"> is generated in twelve steps, as illustrated in the following figure. It includes setting scenario, network layout and antenna parameter, determining large scale parameters, determining small scale parameters, and coefficient generation.</w:t>
      </w:r>
    </w:p>
    <w:p w14:paraId="24C7A5AD" w14:textId="4E1A1136" w:rsidR="004B697C" w:rsidRPr="004B697C" w:rsidRDefault="004B697C" w:rsidP="004B697C">
      <w:r>
        <w:t xml:space="preserve"> </w:t>
      </w:r>
    </w:p>
    <w:p w14:paraId="2A8F1FC8" w14:textId="77777777" w:rsidR="004B697C" w:rsidRDefault="006F0AA5" w:rsidP="004B697C">
      <w:pPr>
        <w:keepNext/>
        <w:jc w:val="center"/>
      </w:pPr>
      <w:r w:rsidRPr="00147F39">
        <w:rPr>
          <w:noProof/>
        </w:rPr>
        <w:object w:dxaOrig="11215" w:dyaOrig="7255" w14:anchorId="00EB0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65pt;height:288.65pt;mso-width-percent:0;mso-height-percent:0;mso-width-percent:0;mso-height-percent:0" o:ole="">
            <v:imagedata r:id="rId8" o:title=""/>
          </v:shape>
          <o:OLEObject Type="Embed" ProgID="Visio.Drawing.11" ShapeID="_x0000_i1025" DrawAspect="Content" ObjectID="_1776838298" r:id="rId9"/>
        </w:object>
      </w:r>
    </w:p>
    <w:p w14:paraId="12A91E9C" w14:textId="6D907D51" w:rsidR="004B697C" w:rsidRDefault="004B697C" w:rsidP="004B697C">
      <w:pPr>
        <w:pStyle w:val="Caption"/>
        <w:rPr>
          <w:noProof/>
        </w:rPr>
      </w:pPr>
      <w:r>
        <w:t xml:space="preserve">Figure </w:t>
      </w:r>
      <w:r>
        <w:fldChar w:fldCharType="begin"/>
      </w:r>
      <w:r>
        <w:instrText xml:space="preserve"> SEQ Figure \* ARABIC </w:instrText>
      </w:r>
      <w:r>
        <w:fldChar w:fldCharType="separate"/>
      </w:r>
      <w:r w:rsidR="00FF3345">
        <w:rPr>
          <w:noProof/>
        </w:rPr>
        <w:t>1</w:t>
      </w:r>
      <w:r>
        <w:rPr>
          <w:noProof/>
        </w:rPr>
        <w:fldChar w:fldCharType="end"/>
      </w:r>
      <w:r>
        <w:t xml:space="preserve">: Channel coefficient generation procedure </w:t>
      </w:r>
      <w:r w:rsidR="00FF3345">
        <w:fldChar w:fldCharType="begin"/>
      </w:r>
      <w:r w:rsidR="00FF3345">
        <w:instrText xml:space="preserve"> REF _Ref166225065 \r \h </w:instrText>
      </w:r>
      <w:r w:rsidR="00FF3345">
        <w:fldChar w:fldCharType="separate"/>
      </w:r>
      <w:r w:rsidR="00FF3345">
        <w:t>[4]</w:t>
      </w:r>
      <w:r w:rsidR="00FF3345">
        <w:fldChar w:fldCharType="end"/>
      </w:r>
    </w:p>
    <w:p w14:paraId="060BF92A" w14:textId="77777777" w:rsidR="00F44D2E" w:rsidRDefault="00B9200E" w:rsidP="0003353A">
      <w:pPr>
        <w:jc w:val="both"/>
        <w:rPr>
          <w:noProof/>
        </w:rPr>
      </w:pPr>
      <w:r>
        <w:rPr>
          <w:noProof/>
        </w:rPr>
        <w:t>W</w:t>
      </w:r>
      <w:r w:rsidR="004908AA">
        <w:rPr>
          <w:noProof/>
        </w:rPr>
        <w:t xml:space="preserve">e think the near-field propagation has impacts on the small scale parameters generations, while its impact on large scale parameters is negliable and it does not have impact on </w:t>
      </w:r>
      <w:r>
        <w:rPr>
          <w:noProof/>
        </w:rPr>
        <w:t xml:space="preserve">scenario/network </w:t>
      </w:r>
      <w:r>
        <w:rPr>
          <w:noProof/>
        </w:rPr>
        <w:lastRenderedPageBreak/>
        <w:t>layout/antenna parameters, as well as coefficient generation. Specically, in the step of “Generate delays”, we need to check whether a cluster is within the near-field region of a gNB. This involve</w:t>
      </w:r>
      <w:r w:rsidR="00637863">
        <w:rPr>
          <w:noProof/>
        </w:rPr>
        <w:t>s</w:t>
      </w:r>
      <w:r>
        <w:rPr>
          <w:noProof/>
        </w:rPr>
        <w:t xml:space="preserve"> calculating Rayleigh distance in </w:t>
      </w:r>
      <w:r w:rsidR="00637863">
        <w:rPr>
          <w:noProof/>
        </w:rPr>
        <w:t>a</w:t>
      </w:r>
      <w:r>
        <w:rPr>
          <w:noProof/>
        </w:rPr>
        <w:t xml:space="preserve"> given setting (e.g.,</w:t>
      </w:r>
      <w:r w:rsidR="00637863">
        <w:rPr>
          <w:noProof/>
        </w:rPr>
        <w:t xml:space="preserve"> based on</w:t>
      </w:r>
      <w:r>
        <w:rPr>
          <w:noProof/>
        </w:rPr>
        <w:t xml:space="preserve"> antenna aperture</w:t>
      </w:r>
      <w:r w:rsidR="00637863">
        <w:rPr>
          <w:noProof/>
        </w:rPr>
        <w:t xml:space="preserve"> and</w:t>
      </w:r>
      <w:r>
        <w:rPr>
          <w:noProof/>
        </w:rPr>
        <w:t xml:space="preserve"> carrier frequency), and comparing the distance between base station and a cluster, with Rayleigh distance. </w:t>
      </w:r>
      <w:r w:rsidR="00637863">
        <w:rPr>
          <w:noProof/>
        </w:rPr>
        <w:t xml:space="preserve">Here, the distance between base station and a cluster is upper bounded by the cluster delay generated in Step 5. </w:t>
      </w:r>
    </w:p>
    <w:p w14:paraId="22B0A5EF" w14:textId="77777777" w:rsidR="00F44D2E" w:rsidRDefault="00F44D2E" w:rsidP="0003353A">
      <w:pPr>
        <w:jc w:val="both"/>
        <w:rPr>
          <w:noProof/>
        </w:rPr>
      </w:pPr>
    </w:p>
    <w:p w14:paraId="1B83D3F8" w14:textId="0F560E0F" w:rsidR="004B697C" w:rsidRDefault="00F44D2E" w:rsidP="0003353A">
      <w:pPr>
        <w:jc w:val="both"/>
        <w:rPr>
          <w:noProof/>
        </w:rPr>
      </w:pPr>
      <w:r>
        <w:rPr>
          <w:noProof/>
        </w:rPr>
        <w:t>The Rayleigh distance depends on the antenna aperture size. It is open on the aperture size for different scenarios. In our view, the aperture size for UMa</w:t>
      </w:r>
      <w:r w:rsidR="005212C3">
        <w:rPr>
          <w:noProof/>
        </w:rPr>
        <w:t xml:space="preserve">/UMi scenarios </w:t>
      </w:r>
      <w:r>
        <w:rPr>
          <w:noProof/>
        </w:rPr>
        <w:t>could be the large</w:t>
      </w:r>
      <w:r w:rsidR="005212C3">
        <w:rPr>
          <w:noProof/>
        </w:rPr>
        <w:t>r</w:t>
      </w:r>
      <w:r>
        <w:rPr>
          <w:noProof/>
        </w:rPr>
        <w:t xml:space="preserve"> than indoor scenarios. Candidate aperture sizes for UMa</w:t>
      </w:r>
      <w:r w:rsidR="005212C3">
        <w:rPr>
          <w:noProof/>
        </w:rPr>
        <w:t>/</w:t>
      </w:r>
      <w:r>
        <w:rPr>
          <w:noProof/>
        </w:rPr>
        <w:t>UMi</w:t>
      </w:r>
      <w:r w:rsidR="005212C3">
        <w:rPr>
          <w:noProof/>
        </w:rPr>
        <w:t xml:space="preserve"> scenarios</w:t>
      </w:r>
      <w:r>
        <w:rPr>
          <w:noProof/>
        </w:rPr>
        <w:t xml:space="preserve"> and indoor scenarios could be 1.0 and 0.5 meters, respectively. </w:t>
      </w:r>
    </w:p>
    <w:p w14:paraId="06392CD7" w14:textId="77777777" w:rsidR="004B697C" w:rsidRDefault="004B697C" w:rsidP="0003353A">
      <w:pPr>
        <w:jc w:val="both"/>
        <w:rPr>
          <w:noProof/>
        </w:rPr>
      </w:pPr>
    </w:p>
    <w:p w14:paraId="60B61837" w14:textId="17225F53" w:rsidR="00637863" w:rsidRDefault="00637863" w:rsidP="0003353A">
      <w:pPr>
        <w:jc w:val="both"/>
        <w:rPr>
          <w:noProof/>
        </w:rPr>
      </w:pPr>
      <w:r>
        <w:rPr>
          <w:noProof/>
        </w:rPr>
        <w:t xml:space="preserve">Once a cluster is in near-field region, the angle of arrival (AoA, ZoA) or the angle of departure (AoD, ZoD) of the cluster is not a single value. This is because in spherical wave, different transmit antenna elements to a receiver antenna have different angles. Instead, the angle of arrival (AoA, ZoA) or the angle of departure (AoD, ZoD) of the cluster should be composed of a vector of values. </w:t>
      </w:r>
      <w:r w:rsidR="002348E4">
        <w:rPr>
          <w:noProof/>
        </w:rPr>
        <w:t xml:space="preserve">The difference among the values in the vector may depend on the distance between base station and cluster. In general, the closer between base station and cluseter, the larger the difference among the values in the vector. </w:t>
      </w:r>
    </w:p>
    <w:p w14:paraId="7081EE6A" w14:textId="77777777" w:rsidR="004B58C3" w:rsidRDefault="004B58C3" w:rsidP="0003353A">
      <w:pPr>
        <w:jc w:val="both"/>
        <w:rPr>
          <w:noProof/>
        </w:rPr>
      </w:pPr>
    </w:p>
    <w:p w14:paraId="048DE04E" w14:textId="1D509351" w:rsidR="001854DE" w:rsidRDefault="004B58C3" w:rsidP="0003353A">
      <w:pPr>
        <w:jc w:val="both"/>
        <w:rPr>
          <w:noProof/>
        </w:rPr>
      </w:pPr>
      <w:r>
        <w:rPr>
          <w:noProof/>
        </w:rPr>
        <w:t xml:space="preserve">In the step of “Generate channel coefficient”, the </w:t>
      </w:r>
      <w:r w:rsidR="001854DE">
        <w:rPr>
          <w:noProof/>
        </w:rPr>
        <w:t xml:space="preserve">departure and arrival </w:t>
      </w:r>
      <w:r>
        <w:rPr>
          <w:noProof/>
        </w:rPr>
        <w:t xml:space="preserve">angles </w:t>
      </w:r>
      <w:r w:rsidR="001854DE">
        <w:rPr>
          <w:noProof/>
        </w:rPr>
        <w:t xml:space="preserve">for a near-field or a far-field cluster generated in previous steps could be applied for each transmit antenna element </w:t>
      </w:r>
      <m:oMath>
        <m:r>
          <w:rPr>
            <w:rFonts w:ascii="Cambria Math" w:hAnsi="Cambria Math"/>
            <w:noProof/>
          </w:rPr>
          <m:t>s</m:t>
        </m:r>
      </m:oMath>
      <w:r w:rsidR="001854DE">
        <w:rPr>
          <w:noProof/>
        </w:rPr>
        <w:t xml:space="preserve"> and receive antenna element </w:t>
      </w:r>
      <m:oMath>
        <m:r>
          <w:rPr>
            <w:rFonts w:ascii="Cambria Math" w:hAnsi="Cambria Math"/>
            <w:noProof/>
          </w:rPr>
          <m:t>u</m:t>
        </m:r>
      </m:oMath>
      <w:r w:rsidR="001854DE">
        <w:rPr>
          <w:noProof/>
        </w:rPr>
        <w:t xml:space="preserve">. In addition, if the UE itself is in the near-field region of a gNB, then </w:t>
      </w:r>
      <w:r w:rsidR="002A07B8">
        <w:rPr>
          <w:noProof/>
        </w:rPr>
        <w:t xml:space="preserve">more accurate </w:t>
      </w:r>
      <w:r w:rsidR="001854DE">
        <w:rPr>
          <w:noProof/>
        </w:rPr>
        <w:t xml:space="preserve">distance between </w:t>
      </w:r>
      <w:r w:rsidR="00226422">
        <w:rPr>
          <w:noProof/>
        </w:rPr>
        <w:t>a</w:t>
      </w:r>
      <w:r w:rsidR="001854DE">
        <w:rPr>
          <w:noProof/>
        </w:rPr>
        <w:t xml:space="preserve"> transmit antenna element and </w:t>
      </w:r>
      <w:r w:rsidR="00226422">
        <w:rPr>
          <w:noProof/>
        </w:rPr>
        <w:t xml:space="preserve">a receive antenna element is used to determine the channel impulse response. </w:t>
      </w:r>
    </w:p>
    <w:p w14:paraId="188A0C52" w14:textId="77777777" w:rsidR="002348E4" w:rsidRDefault="002348E4" w:rsidP="0003353A">
      <w:pPr>
        <w:jc w:val="both"/>
        <w:rPr>
          <w:noProof/>
        </w:rPr>
      </w:pPr>
    </w:p>
    <w:p w14:paraId="5478A098" w14:textId="6724E0D1" w:rsidR="002348E4" w:rsidRDefault="002348E4" w:rsidP="0003353A">
      <w:pPr>
        <w:jc w:val="both"/>
        <w:rPr>
          <w:noProof/>
        </w:rPr>
      </w:pPr>
      <w:r>
        <w:rPr>
          <w:noProof/>
        </w:rPr>
        <w:t xml:space="preserve">Based on the above discussions, we have the following proposals. </w:t>
      </w:r>
    </w:p>
    <w:p w14:paraId="72180F96" w14:textId="77777777" w:rsidR="00B5120E" w:rsidRPr="002348E4" w:rsidRDefault="00B5120E" w:rsidP="0003353A">
      <w:pPr>
        <w:jc w:val="both"/>
        <w:rPr>
          <w:noProof/>
        </w:rPr>
      </w:pPr>
    </w:p>
    <w:p w14:paraId="134E7737" w14:textId="443F81C0" w:rsidR="00637863" w:rsidRDefault="00B51704" w:rsidP="0003353A">
      <w:pPr>
        <w:jc w:val="both"/>
        <w:rPr>
          <w:i/>
          <w:iCs/>
        </w:rPr>
      </w:pPr>
      <w:r w:rsidRPr="00D906A0">
        <w:rPr>
          <w:b/>
          <w:bCs/>
          <w:i/>
          <w:iCs/>
          <w:u w:val="single"/>
        </w:rPr>
        <w:t xml:space="preserve">Proposal </w:t>
      </w:r>
      <w:r w:rsidR="006667EE" w:rsidRPr="00D906A0">
        <w:rPr>
          <w:b/>
          <w:bCs/>
          <w:i/>
          <w:iCs/>
          <w:u w:val="single"/>
        </w:rPr>
        <w:t>1</w:t>
      </w:r>
      <w:r w:rsidRPr="00D906A0">
        <w:rPr>
          <w:b/>
          <w:bCs/>
          <w:i/>
          <w:iCs/>
          <w:u w:val="single"/>
        </w:rPr>
        <w:t>:</w:t>
      </w:r>
      <w:r w:rsidRPr="00D906A0">
        <w:rPr>
          <w:i/>
          <w:iCs/>
        </w:rPr>
        <w:t xml:space="preserve"> </w:t>
      </w:r>
      <w:r w:rsidR="00517ED8">
        <w:rPr>
          <w:i/>
          <w:iCs/>
        </w:rPr>
        <w:t xml:space="preserve">To support the near-field propagation, </w:t>
      </w:r>
      <w:r w:rsidR="006667EE" w:rsidRPr="00D906A0">
        <w:rPr>
          <w:i/>
          <w:iCs/>
        </w:rPr>
        <w:t>RAN1 is to</w:t>
      </w:r>
      <w:r w:rsidR="006667EE">
        <w:rPr>
          <w:i/>
          <w:iCs/>
        </w:rPr>
        <w:t xml:space="preserve"> </w:t>
      </w:r>
      <w:r w:rsidR="00517ED8">
        <w:rPr>
          <w:i/>
          <w:iCs/>
        </w:rPr>
        <w:t xml:space="preserve">keep the existing </w:t>
      </w:r>
      <w:r w:rsidR="004B697C">
        <w:rPr>
          <w:i/>
          <w:iCs/>
        </w:rPr>
        <w:t xml:space="preserve">channel coefficient generation </w:t>
      </w:r>
      <w:r w:rsidR="00517ED8">
        <w:rPr>
          <w:i/>
          <w:iCs/>
        </w:rPr>
        <w:t>procedur</w:t>
      </w:r>
      <w:r w:rsidR="004B697C">
        <w:rPr>
          <w:i/>
          <w:iCs/>
        </w:rPr>
        <w:t>e</w:t>
      </w:r>
      <w:r w:rsidR="002348E4">
        <w:rPr>
          <w:i/>
          <w:iCs/>
        </w:rPr>
        <w:t xml:space="preserve"> as in TR 38.901</w:t>
      </w:r>
      <w:r w:rsidR="004B697C">
        <w:rPr>
          <w:i/>
          <w:iCs/>
        </w:rPr>
        <w:t>, with the modifications on the step of “Generate delays” and the step of “Generate arrival &amp; departure angles”.</w:t>
      </w:r>
    </w:p>
    <w:p w14:paraId="30F40547" w14:textId="77777777" w:rsidR="002348E4" w:rsidRDefault="002348E4" w:rsidP="0003353A">
      <w:pPr>
        <w:jc w:val="both"/>
        <w:rPr>
          <w:i/>
          <w:iCs/>
        </w:rPr>
      </w:pPr>
    </w:p>
    <w:p w14:paraId="22967CD5" w14:textId="77777777" w:rsidR="00F44D2E" w:rsidRDefault="002348E4" w:rsidP="002348E4">
      <w:pPr>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To support the near-field propagation, in the step of “Generate delays”, determine the distance between base station and clusters and then determine whether each cluster is within the Rayleigh distance.</w:t>
      </w:r>
    </w:p>
    <w:p w14:paraId="227E18E9" w14:textId="329A9ACB" w:rsidR="00F44D2E" w:rsidRPr="00F44D2E" w:rsidRDefault="00F44D2E" w:rsidP="00F44D2E">
      <w:pPr>
        <w:pStyle w:val="ListParagraph"/>
        <w:numPr>
          <w:ilvl w:val="0"/>
          <w:numId w:val="46"/>
        </w:numPr>
        <w:jc w:val="both"/>
        <w:rPr>
          <w:rFonts w:ascii="Times New Roman" w:hAnsi="Times New Roman"/>
          <w:i/>
          <w:iCs/>
          <w:sz w:val="24"/>
          <w:szCs w:val="24"/>
        </w:rPr>
      </w:pPr>
      <w:r w:rsidRPr="00F44D2E">
        <w:rPr>
          <w:rFonts w:ascii="Times New Roman" w:hAnsi="Times New Roman"/>
          <w:i/>
          <w:iCs/>
          <w:sz w:val="24"/>
          <w:szCs w:val="24"/>
        </w:rPr>
        <w:t>C</w:t>
      </w:r>
      <w:r w:rsidRPr="00F44D2E">
        <w:rPr>
          <w:rFonts w:ascii="Times New Roman" w:hAnsi="Times New Roman"/>
          <w:i/>
          <w:iCs/>
          <w:noProof/>
          <w:sz w:val="24"/>
          <w:szCs w:val="24"/>
        </w:rPr>
        <w:t>andidate aperture sizes for UMa</w:t>
      </w:r>
      <w:r w:rsidR="005212C3">
        <w:rPr>
          <w:rFonts w:ascii="Times New Roman" w:hAnsi="Times New Roman" w:hint="eastAsia"/>
          <w:i/>
          <w:iCs/>
          <w:noProof/>
          <w:sz w:val="24"/>
          <w:szCs w:val="24"/>
        </w:rPr>
        <w:t>/</w:t>
      </w:r>
      <w:r w:rsidRPr="00F44D2E">
        <w:rPr>
          <w:rFonts w:ascii="Times New Roman" w:hAnsi="Times New Roman"/>
          <w:i/>
          <w:iCs/>
          <w:noProof/>
          <w:sz w:val="24"/>
          <w:szCs w:val="24"/>
        </w:rPr>
        <w:t>UMi</w:t>
      </w:r>
      <w:r w:rsidR="005212C3" w:rsidRPr="005212C3">
        <w:rPr>
          <w:rFonts w:ascii="Times New Roman" w:hAnsi="Times New Roman" w:hint="eastAsia"/>
          <w:i/>
          <w:iCs/>
          <w:noProof/>
          <w:sz w:val="24"/>
          <w:szCs w:val="24"/>
        </w:rPr>
        <w:t xml:space="preserve"> </w:t>
      </w:r>
      <w:r w:rsidR="005212C3" w:rsidRPr="005212C3">
        <w:rPr>
          <w:rFonts w:ascii="Times New Roman" w:hAnsi="Times New Roman"/>
          <w:i/>
          <w:iCs/>
          <w:noProof/>
          <w:sz w:val="24"/>
          <w:szCs w:val="24"/>
        </w:rPr>
        <w:t>scenarios</w:t>
      </w:r>
      <w:r w:rsidRPr="00F44D2E">
        <w:rPr>
          <w:rFonts w:ascii="Times New Roman" w:hAnsi="Times New Roman" w:hint="eastAsia"/>
          <w:i/>
          <w:iCs/>
          <w:noProof/>
          <w:sz w:val="24"/>
          <w:szCs w:val="24"/>
        </w:rPr>
        <w:t xml:space="preserve"> </w:t>
      </w:r>
      <w:r w:rsidRPr="00F44D2E">
        <w:rPr>
          <w:rFonts w:ascii="Times New Roman" w:hAnsi="Times New Roman"/>
          <w:i/>
          <w:iCs/>
          <w:noProof/>
          <w:sz w:val="24"/>
          <w:szCs w:val="24"/>
        </w:rPr>
        <w:t xml:space="preserve">and indoor scenarios </w:t>
      </w:r>
      <w:r w:rsidR="00A627D3">
        <w:rPr>
          <w:rFonts w:ascii="Times New Roman" w:hAnsi="Times New Roman"/>
          <w:i/>
          <w:iCs/>
          <w:noProof/>
          <w:sz w:val="24"/>
          <w:szCs w:val="24"/>
        </w:rPr>
        <w:t>are</w:t>
      </w:r>
      <w:r w:rsidRPr="00F44D2E">
        <w:rPr>
          <w:rFonts w:ascii="Times New Roman" w:hAnsi="Times New Roman"/>
          <w:i/>
          <w:iCs/>
          <w:noProof/>
          <w:sz w:val="24"/>
          <w:szCs w:val="24"/>
        </w:rPr>
        <w:t xml:space="preserve"> 1.0 and 0.5 meters, respectively.</w:t>
      </w:r>
    </w:p>
    <w:p w14:paraId="3DAA7AE2" w14:textId="77777777" w:rsidR="002348E4" w:rsidRDefault="002348E4" w:rsidP="0003353A">
      <w:pPr>
        <w:jc w:val="both"/>
        <w:rPr>
          <w:i/>
          <w:iCs/>
        </w:rPr>
      </w:pPr>
    </w:p>
    <w:p w14:paraId="69616F01" w14:textId="19FEDDAB" w:rsidR="002348E4" w:rsidRDefault="002348E4" w:rsidP="002348E4">
      <w:pPr>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 xml:space="preserve">To support the near-field propagation, in the step of “Generate arrival &amp; departure angles”, for a cluster in near-field of base station, generate a vector of angles of arrival and a vector of angles of departure for different antenna elements of base station. </w:t>
      </w:r>
    </w:p>
    <w:p w14:paraId="5693F604" w14:textId="77777777" w:rsidR="002A454A" w:rsidRDefault="002A454A" w:rsidP="002348E4">
      <w:pPr>
        <w:jc w:val="both"/>
        <w:rPr>
          <w:i/>
          <w:iCs/>
        </w:rPr>
      </w:pPr>
    </w:p>
    <w:p w14:paraId="0E50BAE0" w14:textId="77777777" w:rsidR="002A07B8" w:rsidRDefault="002A07B8" w:rsidP="002A07B8">
      <w:pPr>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Pr>
          <w:i/>
          <w:iCs/>
        </w:rPr>
        <w:t xml:space="preserve">To support the near-field propagation, in the step of “Generate channel coefficient”, the arrival and departure angles for near-field clusters are incorporated. </w:t>
      </w:r>
    </w:p>
    <w:p w14:paraId="29B0EA0B" w14:textId="5612F268" w:rsidR="00ED360E" w:rsidRDefault="002A07B8" w:rsidP="00ED360E">
      <w:pPr>
        <w:pStyle w:val="ListParagraph"/>
        <w:numPr>
          <w:ilvl w:val="0"/>
          <w:numId w:val="46"/>
        </w:numPr>
        <w:jc w:val="both"/>
        <w:rPr>
          <w:rFonts w:ascii="Times New Roman" w:hAnsi="Times New Roman"/>
          <w:i/>
          <w:iCs/>
          <w:sz w:val="24"/>
          <w:szCs w:val="24"/>
        </w:rPr>
      </w:pPr>
      <w:r w:rsidRPr="00F44D2E">
        <w:rPr>
          <w:rFonts w:ascii="Times New Roman" w:hAnsi="Times New Roman"/>
          <w:i/>
          <w:iCs/>
          <w:sz w:val="24"/>
          <w:szCs w:val="24"/>
        </w:rPr>
        <w:t xml:space="preserve">In addition, if a UE is in near-field region of base station, </w:t>
      </w:r>
      <w:r>
        <w:rPr>
          <w:rFonts w:ascii="Times New Roman" w:hAnsi="Times New Roman"/>
          <w:i/>
          <w:iCs/>
          <w:sz w:val="24"/>
          <w:szCs w:val="24"/>
        </w:rPr>
        <w:t xml:space="preserve">more accurate </w:t>
      </w:r>
      <w:r w:rsidRPr="00F44D2E">
        <w:rPr>
          <w:rFonts w:ascii="Times New Roman" w:hAnsi="Times New Roman"/>
          <w:i/>
          <w:iCs/>
          <w:sz w:val="24"/>
          <w:szCs w:val="24"/>
        </w:rPr>
        <w:t xml:space="preserve">distance between a transmit antenna element and a receive antenna element is used to determine the channel impulse response.  </w:t>
      </w:r>
    </w:p>
    <w:p w14:paraId="4D34F228" w14:textId="77777777" w:rsidR="00ED360E" w:rsidRPr="00ED360E" w:rsidRDefault="00ED360E" w:rsidP="00ED360E">
      <w:pPr>
        <w:pStyle w:val="ListParagraph"/>
        <w:jc w:val="both"/>
        <w:rPr>
          <w:rFonts w:ascii="Times New Roman" w:hAnsi="Times New Roman"/>
          <w:i/>
          <w:iCs/>
          <w:sz w:val="24"/>
          <w:szCs w:val="24"/>
        </w:rPr>
      </w:pPr>
    </w:p>
    <w:p w14:paraId="174F58AA" w14:textId="3562740D" w:rsidR="002348E4" w:rsidRDefault="002348E4" w:rsidP="002348E4">
      <w:pPr>
        <w:pStyle w:val="Heading2"/>
      </w:pPr>
      <w:r w:rsidRPr="00457D24">
        <w:lastRenderedPageBreak/>
        <w:t>Spatial non-stationarity</w:t>
      </w:r>
    </w:p>
    <w:p w14:paraId="54972FE0" w14:textId="26CABA1F" w:rsidR="00B40DA5" w:rsidRDefault="00B40DA5" w:rsidP="00B40DA5">
      <w:pPr>
        <w:jc w:val="both"/>
      </w:pPr>
      <w:r>
        <w:t xml:space="preserve">Due to large number of antenna elements and large antenna aperture in ELAA, different antenna elements may have different propagation </w:t>
      </w:r>
      <w:r w:rsidR="00DA7E3C">
        <w:t>characteristics</w:t>
      </w:r>
      <w:r>
        <w:t xml:space="preserve">. This scenario is more likely in the near field region. A typical example is that some antenna elements </w:t>
      </w:r>
      <w:r w:rsidR="00DA7E3C">
        <w:t>o</w:t>
      </w:r>
      <w:r>
        <w:t xml:space="preserve">n an antenna panel have LOS path to an objective (either UE or cluster), while other antenna elements in the same antenna panel have blockage on their paths to the objective. This results in </w:t>
      </w:r>
      <w:r w:rsidR="00DA7E3C">
        <w:t xml:space="preserve">spatial non-stationarity at base station side. This is different from the spatial consistency modelling at UE side. </w:t>
      </w:r>
    </w:p>
    <w:p w14:paraId="5446100C" w14:textId="705BFA04" w:rsidR="007F69D1" w:rsidRDefault="007F69D1" w:rsidP="00B40DA5">
      <w:pPr>
        <w:jc w:val="both"/>
      </w:pPr>
    </w:p>
    <w:p w14:paraId="18904979" w14:textId="07F635CA" w:rsidR="007F69D1" w:rsidRDefault="007F69D1" w:rsidP="00B40DA5">
      <w:pPr>
        <w:jc w:val="both"/>
      </w:pPr>
      <w:r>
        <w:t>Two options of identifying the impacted cluster/ray and element-pair link were agreed for further study.</w:t>
      </w:r>
      <w:r w:rsidR="00E37B1A">
        <w:t xml:space="preserve"> In our view, the option of introducing the visibility probability/region of each cluster/ray for a set of antennas is simple and the spatial consistency between neighbor antenna elements can be achieved with </w:t>
      </w:r>
      <w:r w:rsidR="002D24A1">
        <w:t xml:space="preserve">the continuous </w:t>
      </w:r>
      <w:r w:rsidR="00E37B1A">
        <w:t>vi</w:t>
      </w:r>
      <w:r w:rsidR="002D24A1">
        <w:t xml:space="preserve">sibility region. </w:t>
      </w:r>
    </w:p>
    <w:p w14:paraId="22F7ADFD" w14:textId="77777777" w:rsidR="00B40DA5" w:rsidRDefault="00B40DA5" w:rsidP="00B40DA5">
      <w:pPr>
        <w:jc w:val="both"/>
      </w:pPr>
    </w:p>
    <w:p w14:paraId="02956261" w14:textId="3693DAF1" w:rsidR="002D24A1" w:rsidRDefault="002D24A1" w:rsidP="002D24A1">
      <w:pPr>
        <w:jc w:val="both"/>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Pr>
          <w:i/>
          <w:iCs/>
        </w:rPr>
        <w:t>For the modelling of spatial non-stationarity, introduce per cluster visible region for a set of antenna elements.</w:t>
      </w:r>
    </w:p>
    <w:p w14:paraId="4F942D29" w14:textId="77777777" w:rsidR="002D24A1" w:rsidRDefault="002D24A1" w:rsidP="00B40DA5">
      <w:pPr>
        <w:jc w:val="both"/>
      </w:pPr>
    </w:p>
    <w:p w14:paraId="2C6200AE" w14:textId="39029F72" w:rsidR="002348E4" w:rsidRDefault="00DA7E3C" w:rsidP="00B40DA5">
      <w:pPr>
        <w:jc w:val="both"/>
      </w:pPr>
      <w:r>
        <w:t>To support s</w:t>
      </w:r>
      <w:r w:rsidR="00B40DA5" w:rsidRPr="00457D24">
        <w:t>patial non-stationarity</w:t>
      </w:r>
      <w:r>
        <w:t xml:space="preserve">, we think the existing channel coefficient generation procedure as in TR 38.901 can be used, with the modifications on the step of “generate cluster power”. Specifically, if a cluster is in near-field of base station, the cluster power is reduced to address the potential blockage issue. </w:t>
      </w:r>
    </w:p>
    <w:p w14:paraId="6EEBE494" w14:textId="77777777" w:rsidR="002348E4" w:rsidRDefault="002348E4" w:rsidP="002348E4"/>
    <w:p w14:paraId="60AEB63C" w14:textId="69BA05F0" w:rsidR="002348E4" w:rsidRDefault="002348E4" w:rsidP="00B40DA5">
      <w:pPr>
        <w:jc w:val="both"/>
      </w:pPr>
      <w:r w:rsidRPr="00D906A0">
        <w:rPr>
          <w:b/>
          <w:bCs/>
          <w:i/>
          <w:iCs/>
          <w:u w:val="single"/>
        </w:rPr>
        <w:t xml:space="preserve">Proposal </w:t>
      </w:r>
      <w:r w:rsidR="002D24A1">
        <w:rPr>
          <w:b/>
          <w:bCs/>
          <w:i/>
          <w:iCs/>
          <w:u w:val="single"/>
        </w:rPr>
        <w:t>6</w:t>
      </w:r>
      <w:r w:rsidRPr="00D906A0">
        <w:rPr>
          <w:b/>
          <w:bCs/>
          <w:i/>
          <w:iCs/>
          <w:u w:val="single"/>
        </w:rPr>
        <w:t>:</w:t>
      </w:r>
      <w:r w:rsidRPr="00D906A0">
        <w:rPr>
          <w:i/>
          <w:iCs/>
        </w:rPr>
        <w:t xml:space="preserve"> </w:t>
      </w:r>
      <w:r>
        <w:rPr>
          <w:i/>
          <w:iCs/>
        </w:rPr>
        <w:t>To support spatial non-stationarity</w:t>
      </w:r>
      <w:r w:rsidR="001E5CE6">
        <w:rPr>
          <w:i/>
          <w:iCs/>
        </w:rPr>
        <w:t>,</w:t>
      </w:r>
      <w:r w:rsidR="00B40DA5">
        <w:rPr>
          <w:i/>
          <w:iCs/>
        </w:rPr>
        <w:t xml:space="preserve"> in the step of “generate cluster power”, a cluster in near-field of base station</w:t>
      </w:r>
      <w:r w:rsidR="00DA7E3C">
        <w:rPr>
          <w:i/>
          <w:iCs/>
        </w:rPr>
        <w:t xml:space="preserve"> has reduced </w:t>
      </w:r>
      <w:r w:rsidR="00B40DA5">
        <w:rPr>
          <w:i/>
          <w:iCs/>
        </w:rPr>
        <w:t>cluster power.</w:t>
      </w:r>
    </w:p>
    <w:p w14:paraId="5F94BF5E" w14:textId="77777777" w:rsidR="002348E4" w:rsidRPr="002348E4" w:rsidRDefault="002348E4" w:rsidP="002348E4"/>
    <w:p w14:paraId="2896E657" w14:textId="2DF29AD0" w:rsidR="00854A60" w:rsidRPr="00A6576F" w:rsidRDefault="009C5A97" w:rsidP="00FB330B">
      <w:pPr>
        <w:pStyle w:val="Heading1"/>
      </w:pPr>
      <w:r w:rsidRPr="00A6576F">
        <w:t>Conclusion</w:t>
      </w:r>
    </w:p>
    <w:p w14:paraId="7973EDF6" w14:textId="6E1D59BD" w:rsidR="0064641E" w:rsidRDefault="00A04318" w:rsidP="00BB4346">
      <w:pPr>
        <w:jc w:val="both"/>
      </w:pPr>
      <w:r>
        <w:t xml:space="preserve">In this contribution, </w:t>
      </w:r>
      <w:r w:rsidR="00F2767C">
        <w:t xml:space="preserve">we provided our views </w:t>
      </w:r>
      <w:r w:rsidR="00972C43">
        <w:t xml:space="preserve">on </w:t>
      </w:r>
      <w:r w:rsidR="005C0B47">
        <w:t xml:space="preserve">channel model </w:t>
      </w:r>
      <w:r w:rsidR="00457D24">
        <w:t>adaptation/extension</w:t>
      </w:r>
      <w:r w:rsidR="005C0B47">
        <w:t xml:space="preserve"> of TR</w:t>
      </w:r>
      <w:r w:rsidR="008E2905">
        <w:t xml:space="preserve"> </w:t>
      </w:r>
      <w:r w:rsidR="005C0B47">
        <w:t>38.901 for 7-24 GHz</w:t>
      </w:r>
      <w:r w:rsidR="00F2767C">
        <w:t xml:space="preserve">. </w:t>
      </w:r>
      <w:r>
        <w:t>Our</w:t>
      </w:r>
      <w:r w:rsidR="000D011A">
        <w:t xml:space="preserve"> </w:t>
      </w:r>
      <w:r>
        <w:t>proposals are as follows:</w:t>
      </w:r>
    </w:p>
    <w:p w14:paraId="094F0299" w14:textId="77777777" w:rsidR="00BB14A8" w:rsidRDefault="00BB14A8" w:rsidP="00BB4346">
      <w:pPr>
        <w:jc w:val="both"/>
      </w:pPr>
    </w:p>
    <w:p w14:paraId="4D3D97D1" w14:textId="77777777" w:rsidR="00F44D2E" w:rsidRDefault="00F44D2E" w:rsidP="00F44D2E">
      <w:pPr>
        <w:jc w:val="both"/>
        <w:rPr>
          <w:i/>
          <w:iCs/>
        </w:rPr>
      </w:pPr>
      <w:r w:rsidRPr="00D906A0">
        <w:rPr>
          <w:b/>
          <w:bCs/>
          <w:i/>
          <w:iCs/>
          <w:u w:val="single"/>
        </w:rPr>
        <w:t>Proposal 1:</w:t>
      </w:r>
      <w:r w:rsidRPr="00D906A0">
        <w:rPr>
          <w:i/>
          <w:iCs/>
        </w:rPr>
        <w:t xml:space="preserve"> </w:t>
      </w:r>
      <w:r>
        <w:rPr>
          <w:i/>
          <w:iCs/>
        </w:rPr>
        <w:t xml:space="preserve">To support the near-field propagation, </w:t>
      </w:r>
      <w:r w:rsidRPr="00D906A0">
        <w:rPr>
          <w:i/>
          <w:iCs/>
        </w:rPr>
        <w:t>RAN1 is to</w:t>
      </w:r>
      <w:r>
        <w:rPr>
          <w:i/>
          <w:iCs/>
        </w:rPr>
        <w:t xml:space="preserve"> keep the existing channel coefficient generation procedure as in TR 38.901, with the modifications on the step of “Generate delays” and the step of “Generate arrival &amp; departure angles”.</w:t>
      </w:r>
    </w:p>
    <w:p w14:paraId="4EF5FBD3" w14:textId="77777777" w:rsidR="00F44D2E" w:rsidRDefault="00F44D2E" w:rsidP="00F44D2E">
      <w:pPr>
        <w:jc w:val="both"/>
        <w:rPr>
          <w:i/>
          <w:iCs/>
        </w:rPr>
      </w:pPr>
    </w:p>
    <w:p w14:paraId="4213E7A2" w14:textId="77777777" w:rsidR="005212C3" w:rsidRDefault="005212C3" w:rsidP="005212C3">
      <w:pPr>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To support the near-field propagation, in the step of “Generate delays”, determine the distance between base station and clusters and then determine whether each cluster is within the Rayleigh distance.</w:t>
      </w:r>
    </w:p>
    <w:p w14:paraId="10AA0AF2" w14:textId="77777777" w:rsidR="005212C3" w:rsidRPr="00F44D2E" w:rsidRDefault="005212C3" w:rsidP="005212C3">
      <w:pPr>
        <w:pStyle w:val="ListParagraph"/>
        <w:numPr>
          <w:ilvl w:val="0"/>
          <w:numId w:val="46"/>
        </w:numPr>
        <w:jc w:val="both"/>
        <w:rPr>
          <w:rFonts w:ascii="Times New Roman" w:hAnsi="Times New Roman"/>
          <w:i/>
          <w:iCs/>
          <w:sz w:val="24"/>
          <w:szCs w:val="24"/>
        </w:rPr>
      </w:pPr>
      <w:r w:rsidRPr="00F44D2E">
        <w:rPr>
          <w:rFonts w:ascii="Times New Roman" w:hAnsi="Times New Roman"/>
          <w:i/>
          <w:iCs/>
          <w:sz w:val="24"/>
          <w:szCs w:val="24"/>
        </w:rPr>
        <w:t>C</w:t>
      </w:r>
      <w:r w:rsidRPr="00F44D2E">
        <w:rPr>
          <w:rFonts w:ascii="Times New Roman" w:hAnsi="Times New Roman"/>
          <w:i/>
          <w:iCs/>
          <w:noProof/>
          <w:sz w:val="24"/>
          <w:szCs w:val="24"/>
        </w:rPr>
        <w:t>andidate aperture sizes for UMa</w:t>
      </w:r>
      <w:r>
        <w:rPr>
          <w:rFonts w:ascii="Times New Roman" w:hAnsi="Times New Roman" w:hint="eastAsia"/>
          <w:i/>
          <w:iCs/>
          <w:noProof/>
          <w:sz w:val="24"/>
          <w:szCs w:val="24"/>
        </w:rPr>
        <w:t>/</w:t>
      </w:r>
      <w:r w:rsidRPr="00F44D2E">
        <w:rPr>
          <w:rFonts w:ascii="Times New Roman" w:hAnsi="Times New Roman"/>
          <w:i/>
          <w:iCs/>
          <w:noProof/>
          <w:sz w:val="24"/>
          <w:szCs w:val="24"/>
        </w:rPr>
        <w:t>UMi</w:t>
      </w:r>
      <w:r w:rsidRPr="005212C3">
        <w:rPr>
          <w:rFonts w:ascii="Times New Roman" w:hAnsi="Times New Roman" w:hint="eastAsia"/>
          <w:i/>
          <w:iCs/>
          <w:noProof/>
          <w:sz w:val="24"/>
          <w:szCs w:val="24"/>
        </w:rPr>
        <w:t xml:space="preserve"> </w:t>
      </w:r>
      <w:r w:rsidRPr="005212C3">
        <w:rPr>
          <w:rFonts w:ascii="Times New Roman" w:hAnsi="Times New Roman"/>
          <w:i/>
          <w:iCs/>
          <w:noProof/>
          <w:sz w:val="24"/>
          <w:szCs w:val="24"/>
        </w:rPr>
        <w:t>scenarios</w:t>
      </w:r>
      <w:r w:rsidRPr="00F44D2E">
        <w:rPr>
          <w:rFonts w:ascii="Times New Roman" w:hAnsi="Times New Roman" w:hint="eastAsia"/>
          <w:i/>
          <w:iCs/>
          <w:noProof/>
          <w:sz w:val="24"/>
          <w:szCs w:val="24"/>
        </w:rPr>
        <w:t xml:space="preserve"> </w:t>
      </w:r>
      <w:r w:rsidRPr="00F44D2E">
        <w:rPr>
          <w:rFonts w:ascii="Times New Roman" w:hAnsi="Times New Roman"/>
          <w:i/>
          <w:iCs/>
          <w:noProof/>
          <w:sz w:val="24"/>
          <w:szCs w:val="24"/>
        </w:rPr>
        <w:t xml:space="preserve">and indoor scenarios </w:t>
      </w:r>
      <w:r>
        <w:rPr>
          <w:rFonts w:ascii="Times New Roman" w:hAnsi="Times New Roman"/>
          <w:i/>
          <w:iCs/>
          <w:noProof/>
          <w:sz w:val="24"/>
          <w:szCs w:val="24"/>
        </w:rPr>
        <w:t>are</w:t>
      </w:r>
      <w:r w:rsidRPr="00F44D2E">
        <w:rPr>
          <w:rFonts w:ascii="Times New Roman" w:hAnsi="Times New Roman"/>
          <w:i/>
          <w:iCs/>
          <w:noProof/>
          <w:sz w:val="24"/>
          <w:szCs w:val="24"/>
        </w:rPr>
        <w:t xml:space="preserve"> 1.0 and 0.5 meters, respectively.</w:t>
      </w:r>
    </w:p>
    <w:p w14:paraId="784ABFD2" w14:textId="77777777" w:rsidR="00F44D2E" w:rsidRDefault="00F44D2E" w:rsidP="00F44D2E">
      <w:pPr>
        <w:jc w:val="both"/>
        <w:rPr>
          <w:i/>
          <w:iCs/>
        </w:rPr>
      </w:pPr>
    </w:p>
    <w:p w14:paraId="66ADDCD7" w14:textId="77777777" w:rsidR="00F44D2E" w:rsidRDefault="00F44D2E" w:rsidP="00F44D2E">
      <w:pPr>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 xml:space="preserve">To support the near-field propagation, in the step of “Generate arrival &amp; departure angles”, for a cluster in near-field of base station, generate a vector of angles of arrival and a vector of angles of departure for different antenna elements of base station. </w:t>
      </w:r>
    </w:p>
    <w:p w14:paraId="36FE0031" w14:textId="77777777" w:rsidR="00F44D2E" w:rsidRDefault="00F44D2E" w:rsidP="00F44D2E">
      <w:pPr>
        <w:jc w:val="both"/>
        <w:rPr>
          <w:i/>
          <w:iCs/>
        </w:rPr>
      </w:pPr>
    </w:p>
    <w:p w14:paraId="495A3AB5" w14:textId="77777777" w:rsidR="00F44D2E" w:rsidRDefault="00F44D2E" w:rsidP="00F44D2E">
      <w:pPr>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Pr>
          <w:i/>
          <w:iCs/>
        </w:rPr>
        <w:t xml:space="preserve">To support the near-field propagation, in the step of “Generate channel coefficient”, the arrival and departure angles for near-field clusters are incorporated. </w:t>
      </w:r>
    </w:p>
    <w:p w14:paraId="258B029A" w14:textId="0821B188" w:rsidR="00F44D2E" w:rsidRPr="00F44D2E" w:rsidRDefault="00F44D2E" w:rsidP="00F44D2E">
      <w:pPr>
        <w:pStyle w:val="ListParagraph"/>
        <w:numPr>
          <w:ilvl w:val="0"/>
          <w:numId w:val="46"/>
        </w:numPr>
        <w:jc w:val="both"/>
        <w:rPr>
          <w:rFonts w:ascii="Times New Roman" w:hAnsi="Times New Roman"/>
          <w:i/>
          <w:iCs/>
          <w:sz w:val="24"/>
          <w:szCs w:val="24"/>
        </w:rPr>
      </w:pPr>
      <w:r w:rsidRPr="00F44D2E">
        <w:rPr>
          <w:rFonts w:ascii="Times New Roman" w:hAnsi="Times New Roman"/>
          <w:i/>
          <w:iCs/>
          <w:sz w:val="24"/>
          <w:szCs w:val="24"/>
        </w:rPr>
        <w:t xml:space="preserve">In addition, if a UE is in near-field region of base station, </w:t>
      </w:r>
      <w:r w:rsidR="002A07B8">
        <w:rPr>
          <w:rFonts w:ascii="Times New Roman" w:hAnsi="Times New Roman"/>
          <w:i/>
          <w:iCs/>
          <w:sz w:val="24"/>
          <w:szCs w:val="24"/>
        </w:rPr>
        <w:t xml:space="preserve">more accurate </w:t>
      </w:r>
      <w:r w:rsidRPr="00F44D2E">
        <w:rPr>
          <w:rFonts w:ascii="Times New Roman" w:hAnsi="Times New Roman"/>
          <w:i/>
          <w:iCs/>
          <w:sz w:val="24"/>
          <w:szCs w:val="24"/>
        </w:rPr>
        <w:t xml:space="preserve">distance between a transmit antenna element and a receive antenna element is used to determine the channel impulse response.  </w:t>
      </w:r>
    </w:p>
    <w:p w14:paraId="59FA9430" w14:textId="77777777" w:rsidR="00226422" w:rsidRDefault="00226422" w:rsidP="00A9231D">
      <w:pPr>
        <w:jc w:val="both"/>
        <w:rPr>
          <w:i/>
          <w:iCs/>
        </w:rPr>
      </w:pPr>
    </w:p>
    <w:p w14:paraId="609ED5F8" w14:textId="77777777" w:rsidR="002D24A1" w:rsidRDefault="002D24A1" w:rsidP="002D24A1">
      <w:pPr>
        <w:jc w:val="both"/>
      </w:pPr>
      <w:r w:rsidRPr="00D906A0">
        <w:rPr>
          <w:b/>
          <w:bCs/>
          <w:i/>
          <w:iCs/>
          <w:u w:val="single"/>
        </w:rPr>
        <w:lastRenderedPageBreak/>
        <w:t xml:space="preserve">Proposal </w:t>
      </w:r>
      <w:r>
        <w:rPr>
          <w:b/>
          <w:bCs/>
          <w:i/>
          <w:iCs/>
          <w:u w:val="single"/>
        </w:rPr>
        <w:t>5</w:t>
      </w:r>
      <w:r w:rsidRPr="00D906A0">
        <w:rPr>
          <w:b/>
          <w:bCs/>
          <w:i/>
          <w:iCs/>
          <w:u w:val="single"/>
        </w:rPr>
        <w:t>:</w:t>
      </w:r>
      <w:r w:rsidRPr="00D906A0">
        <w:rPr>
          <w:i/>
          <w:iCs/>
        </w:rPr>
        <w:t xml:space="preserve"> </w:t>
      </w:r>
      <w:r>
        <w:rPr>
          <w:i/>
          <w:iCs/>
        </w:rPr>
        <w:t>For the modelling of spatial non-stationarity, introduce per cluster visible region for a set of antenna elements.</w:t>
      </w:r>
    </w:p>
    <w:p w14:paraId="6167A7D7" w14:textId="77777777" w:rsidR="002D24A1" w:rsidRDefault="002D24A1" w:rsidP="00A9231D">
      <w:pPr>
        <w:jc w:val="both"/>
        <w:rPr>
          <w:i/>
          <w:iCs/>
        </w:rPr>
      </w:pPr>
    </w:p>
    <w:p w14:paraId="7B52D1FA" w14:textId="7661B85C" w:rsidR="00DA7E3C" w:rsidRDefault="00DA7E3C" w:rsidP="00A9231D">
      <w:pPr>
        <w:jc w:val="both"/>
      </w:pPr>
      <w:r w:rsidRPr="00D906A0">
        <w:rPr>
          <w:b/>
          <w:bCs/>
          <w:i/>
          <w:iCs/>
          <w:u w:val="single"/>
        </w:rPr>
        <w:t xml:space="preserve">Proposal </w:t>
      </w:r>
      <w:r w:rsidR="002D24A1">
        <w:rPr>
          <w:b/>
          <w:bCs/>
          <w:i/>
          <w:iCs/>
          <w:u w:val="single"/>
        </w:rPr>
        <w:t>6</w:t>
      </w:r>
      <w:r w:rsidRPr="00D906A0">
        <w:rPr>
          <w:b/>
          <w:bCs/>
          <w:i/>
          <w:iCs/>
          <w:u w:val="single"/>
        </w:rPr>
        <w:t>:</w:t>
      </w:r>
      <w:r w:rsidRPr="00D906A0">
        <w:rPr>
          <w:i/>
          <w:iCs/>
        </w:rPr>
        <w:t xml:space="preserve"> </w:t>
      </w:r>
      <w:r>
        <w:rPr>
          <w:i/>
          <w:iCs/>
        </w:rPr>
        <w:t>To support spatial non-stationarity, in the step of “generate cluster power”, a cluster in near-field of base station has reduced cluster power.</w:t>
      </w:r>
    </w:p>
    <w:p w14:paraId="44F9F3F3" w14:textId="77777777" w:rsidR="00F44D2E" w:rsidRPr="00F44D2E" w:rsidRDefault="00F44D2E" w:rsidP="00A9231D">
      <w:pPr>
        <w:jc w:val="both"/>
      </w:pPr>
    </w:p>
    <w:p w14:paraId="2E75F001" w14:textId="77777777" w:rsidR="007E70BB" w:rsidRPr="00A6576F" w:rsidRDefault="005C63AE" w:rsidP="007E70BB">
      <w:pPr>
        <w:pStyle w:val="Heading1"/>
      </w:pPr>
      <w:r w:rsidRPr="00A6576F">
        <w:t>References</w:t>
      </w:r>
    </w:p>
    <w:p w14:paraId="54110962" w14:textId="04A6E302"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146048113"/>
      <w:bookmarkStart w:id="1" w:name="_Ref49784738"/>
      <w:bookmarkStart w:id="2" w:name="_Ref100217924"/>
      <w:bookmarkStart w:id="3" w:name="_Ref124153647"/>
      <w:bookmarkStart w:id="4" w:name="_Ref109038266"/>
      <w:bookmarkStart w:id="5" w:name="OLE_LINK1"/>
      <w:bookmarkStart w:id="6" w:name="OLE_LINK2"/>
      <w:bookmarkStart w:id="7" w:name="_Ref99716514"/>
      <w:bookmarkStart w:id="8" w:name="_Ref46220695"/>
      <w:r>
        <w:t>R</w:t>
      </w:r>
      <w:r w:rsidR="002D2038">
        <w:t>P</w:t>
      </w:r>
      <w:r>
        <w:t>-234</w:t>
      </w:r>
      <w:r w:rsidR="002D2038">
        <w:t>0</w:t>
      </w:r>
      <w:r w:rsidR="005C0B47">
        <w:t>1</w:t>
      </w:r>
      <w:r w:rsidR="002D2038">
        <w:t>8</w:t>
      </w:r>
      <w:r>
        <w:t xml:space="preserve">, </w:t>
      </w:r>
      <w:r w:rsidR="002D2038">
        <w:t>“</w:t>
      </w:r>
      <w:r w:rsidR="002D2038" w:rsidRPr="002D2038">
        <w:rPr>
          <w:bCs/>
          <w:lang w:val="en-GB"/>
        </w:rPr>
        <w:t xml:space="preserve">New </w:t>
      </w:r>
      <w:r w:rsidR="005C0B47">
        <w:rPr>
          <w:bCs/>
          <w:lang w:val="en-GB"/>
        </w:rPr>
        <w:t>S</w:t>
      </w:r>
      <w:r w:rsidR="002D2038" w:rsidRPr="002D2038">
        <w:rPr>
          <w:bCs/>
          <w:lang w:val="en-GB"/>
        </w:rPr>
        <w:t xml:space="preserve">ID: </w:t>
      </w:r>
      <w:r w:rsidR="005C0B47">
        <w:rPr>
          <w:bCs/>
          <w:lang w:val="en-GB"/>
        </w:rPr>
        <w:t>Study on channel modelling enhancements for 7-24 GHz for NR</w:t>
      </w:r>
      <w:r>
        <w:t xml:space="preserve">,” </w:t>
      </w:r>
      <w:r w:rsidR="002D2038">
        <w:t>Dec.</w:t>
      </w:r>
      <w:r>
        <w:t xml:space="preserve"> 2023.</w:t>
      </w:r>
      <w:bookmarkEnd w:id="0"/>
      <w:r>
        <w:t xml:space="preserve"> </w:t>
      </w:r>
      <w:bookmarkStart w:id="9" w:name="_Ref146637819"/>
    </w:p>
    <w:p w14:paraId="1728F9A1" w14:textId="77777777" w:rsidR="002D4350" w:rsidRDefault="002D4350" w:rsidP="002D43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46638431"/>
      <w:bookmarkStart w:id="11" w:name="_Ref158277531"/>
      <w:bookmarkStart w:id="12" w:name="_Ref156394703"/>
      <w:bookmarkEnd w:id="1"/>
      <w:bookmarkEnd w:id="2"/>
      <w:bookmarkEnd w:id="3"/>
      <w:bookmarkEnd w:id="4"/>
      <w:bookmarkEnd w:id="5"/>
      <w:bookmarkEnd w:id="6"/>
      <w:bookmarkEnd w:id="7"/>
      <w:bookmarkEnd w:id="8"/>
      <w:bookmarkEnd w:id="9"/>
      <w:r>
        <w:t>Chairman’s Notes, 3GPP TSG RAN WG1 #116bis Meeting, Apr. 2024.</w:t>
      </w:r>
      <w:bookmarkEnd w:id="10"/>
    </w:p>
    <w:p w14:paraId="7C59A5D9" w14:textId="77777777" w:rsidR="00FF3345" w:rsidRDefault="00FF3345" w:rsidP="00D050C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66225040"/>
      <w:r>
        <w:t>RP-233985, “High-level considerations for 6G timeline,” Dec. 2023.</w:t>
      </w:r>
      <w:bookmarkEnd w:id="13"/>
      <w:r>
        <w:t xml:space="preserve"> </w:t>
      </w:r>
      <w:bookmarkStart w:id="14" w:name="_Ref158277733"/>
      <w:bookmarkEnd w:id="11"/>
    </w:p>
    <w:p w14:paraId="12A12E04" w14:textId="10432E73" w:rsidR="00AD01D4" w:rsidRPr="005C0B47" w:rsidRDefault="002C400D" w:rsidP="00D050C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66225065"/>
      <w:r>
        <w:t xml:space="preserve">3GPP </w:t>
      </w:r>
      <w:r w:rsidR="00BB14A8">
        <w:t>TR 38.</w:t>
      </w:r>
      <w:r w:rsidR="005C0B47">
        <w:t>901</w:t>
      </w:r>
      <w:r w:rsidR="00BB14A8">
        <w:t xml:space="preserve">, </w:t>
      </w:r>
      <w:r w:rsidR="005C0B47" w:rsidRPr="005C0B47">
        <w:t>Study on channel model for frequencies from 0.5 to 100 GHz</w:t>
      </w:r>
      <w:r w:rsidR="00BB14A8">
        <w:t>, v1</w:t>
      </w:r>
      <w:r w:rsidR="005C0B47">
        <w:t>7</w:t>
      </w:r>
      <w:r w:rsidR="00BB14A8">
        <w:t>.</w:t>
      </w:r>
      <w:r w:rsidR="005C0B47">
        <w:t>1</w:t>
      </w:r>
      <w:r w:rsidR="00BB14A8">
        <w:t xml:space="preserve">.0, </w:t>
      </w:r>
      <w:r w:rsidR="005C0B47">
        <w:t>Jan</w:t>
      </w:r>
      <w:r w:rsidR="00BB14A8">
        <w:t>. 202</w:t>
      </w:r>
      <w:r w:rsidR="005C0B47">
        <w:t>4</w:t>
      </w:r>
      <w:r w:rsidR="00BB14A8">
        <w:t>.</w:t>
      </w:r>
      <w:bookmarkEnd w:id="12"/>
      <w:bookmarkEnd w:id="14"/>
      <w:bookmarkEnd w:id="15"/>
      <w:r w:rsidR="00BB14A8">
        <w:t xml:space="preserve"> </w:t>
      </w:r>
      <w:r w:rsidR="008A67BD">
        <w:t xml:space="preserve"> </w:t>
      </w:r>
    </w:p>
    <w:sectPr w:rsidR="00AD01D4" w:rsidRPr="005C0B47" w:rsidSect="006F0AA5">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C4D1C" w14:textId="77777777" w:rsidR="006F0AA5" w:rsidRDefault="006F0AA5">
      <w:r>
        <w:separator/>
      </w:r>
    </w:p>
  </w:endnote>
  <w:endnote w:type="continuationSeparator" w:id="0">
    <w:p w14:paraId="321A2863" w14:textId="77777777" w:rsidR="006F0AA5" w:rsidRDefault="006F0AA5">
      <w:r>
        <w:continuationSeparator/>
      </w:r>
    </w:p>
  </w:endnote>
  <w:endnote w:type="continuationNotice" w:id="1">
    <w:p w14:paraId="0B268F77" w14:textId="77777777" w:rsidR="006F0AA5" w:rsidRDefault="006F0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B7FF4" w14:textId="77777777" w:rsidR="006F0AA5" w:rsidRDefault="006F0AA5">
      <w:r>
        <w:separator/>
      </w:r>
    </w:p>
  </w:footnote>
  <w:footnote w:type="continuationSeparator" w:id="0">
    <w:p w14:paraId="5036AF19" w14:textId="77777777" w:rsidR="006F0AA5" w:rsidRDefault="006F0AA5">
      <w:r>
        <w:continuationSeparator/>
      </w:r>
    </w:p>
  </w:footnote>
  <w:footnote w:type="continuationNotice" w:id="1">
    <w:p w14:paraId="53204070" w14:textId="77777777" w:rsidR="006F0AA5" w:rsidRDefault="006F0A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B72BBE"/>
    <w:multiLevelType w:val="hybridMultilevel"/>
    <w:tmpl w:val="F074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2"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3"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27"/>
  </w:num>
  <w:num w:numId="3" w16cid:durableId="235363559">
    <w:abstractNumId w:val="21"/>
  </w:num>
  <w:num w:numId="4" w16cid:durableId="989679355">
    <w:abstractNumId w:val="23"/>
  </w:num>
  <w:num w:numId="5" w16cid:durableId="409810781">
    <w:abstractNumId w:val="18"/>
  </w:num>
  <w:num w:numId="6" w16cid:durableId="2081513416">
    <w:abstractNumId w:val="25"/>
  </w:num>
  <w:num w:numId="7" w16cid:durableId="1568495607">
    <w:abstractNumId w:val="33"/>
  </w:num>
  <w:num w:numId="8" w16cid:durableId="1929077284">
    <w:abstractNumId w:val="19"/>
  </w:num>
  <w:num w:numId="9" w16cid:durableId="69206241">
    <w:abstractNumId w:val="28"/>
  </w:num>
  <w:num w:numId="10" w16cid:durableId="1314335830">
    <w:abstractNumId w:val="1"/>
  </w:num>
  <w:num w:numId="11" w16cid:durableId="586155756">
    <w:abstractNumId w:val="24"/>
  </w:num>
  <w:num w:numId="12" w16cid:durableId="1461416379">
    <w:abstractNumId w:val="26"/>
  </w:num>
  <w:num w:numId="13" w16cid:durableId="131097616">
    <w:abstractNumId w:val="10"/>
  </w:num>
  <w:num w:numId="14" w16cid:durableId="1330669507">
    <w:abstractNumId w:val="32"/>
  </w:num>
  <w:num w:numId="15" w16cid:durableId="1544708605">
    <w:abstractNumId w:val="9"/>
  </w:num>
  <w:num w:numId="16" w16cid:durableId="1647202359">
    <w:abstractNumId w:val="22"/>
  </w:num>
  <w:num w:numId="17" w16cid:durableId="366611127">
    <w:abstractNumId w:val="0"/>
  </w:num>
  <w:num w:numId="18" w16cid:durableId="1176379521">
    <w:abstractNumId w:val="44"/>
  </w:num>
  <w:num w:numId="19" w16cid:durableId="494035189">
    <w:abstractNumId w:val="14"/>
  </w:num>
  <w:num w:numId="20" w16cid:durableId="1886402229">
    <w:abstractNumId w:val="42"/>
  </w:num>
  <w:num w:numId="21" w16cid:durableId="2128230243">
    <w:abstractNumId w:val="40"/>
  </w:num>
  <w:num w:numId="22" w16cid:durableId="31351445">
    <w:abstractNumId w:val="34"/>
  </w:num>
  <w:num w:numId="23" w16cid:durableId="1081098852">
    <w:abstractNumId w:val="4"/>
  </w:num>
  <w:num w:numId="24" w16cid:durableId="585111641">
    <w:abstractNumId w:val="8"/>
  </w:num>
  <w:num w:numId="25" w16cid:durableId="1769615368">
    <w:abstractNumId w:val="35"/>
  </w:num>
  <w:num w:numId="26" w16cid:durableId="1914119897">
    <w:abstractNumId w:val="15"/>
  </w:num>
  <w:num w:numId="27" w16cid:durableId="320233550">
    <w:abstractNumId w:val="12"/>
  </w:num>
  <w:num w:numId="28" w16cid:durableId="1797259966">
    <w:abstractNumId w:val="3"/>
  </w:num>
  <w:num w:numId="29" w16cid:durableId="1824543099">
    <w:abstractNumId w:val="31"/>
  </w:num>
  <w:num w:numId="30" w16cid:durableId="810824541">
    <w:abstractNumId w:val="7"/>
  </w:num>
  <w:num w:numId="31" w16cid:durableId="612783970">
    <w:abstractNumId w:val="45"/>
  </w:num>
  <w:num w:numId="32" w16cid:durableId="922572308">
    <w:abstractNumId w:val="39"/>
  </w:num>
  <w:num w:numId="33" w16cid:durableId="489830261">
    <w:abstractNumId w:val="20"/>
  </w:num>
  <w:num w:numId="34" w16cid:durableId="1596014999">
    <w:abstractNumId w:val="2"/>
  </w:num>
  <w:num w:numId="35" w16cid:durableId="654266786">
    <w:abstractNumId w:val="38"/>
  </w:num>
  <w:num w:numId="36" w16cid:durableId="1456556740">
    <w:abstractNumId w:val="37"/>
  </w:num>
  <w:num w:numId="37" w16cid:durableId="1670711974">
    <w:abstractNumId w:val="41"/>
  </w:num>
  <w:num w:numId="38" w16cid:durableId="1633756099">
    <w:abstractNumId w:val="17"/>
  </w:num>
  <w:num w:numId="39" w16cid:durableId="193033440">
    <w:abstractNumId w:val="11"/>
  </w:num>
  <w:num w:numId="40" w16cid:durableId="7389864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29"/>
  </w:num>
  <w:num w:numId="43" w16cid:durableId="2051612355">
    <w:abstractNumId w:val="30"/>
  </w:num>
  <w:num w:numId="44" w16cid:durableId="2021538486">
    <w:abstractNumId w:val="36"/>
  </w:num>
  <w:num w:numId="45" w16cid:durableId="295792104">
    <w:abstractNumId w:val="43"/>
  </w:num>
  <w:num w:numId="46" w16cid:durableId="72961513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218"/>
    <w:rsid w:val="00027939"/>
    <w:rsid w:val="00027988"/>
    <w:rsid w:val="00027BD2"/>
    <w:rsid w:val="0003063F"/>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0A"/>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4DE"/>
    <w:rsid w:val="00185B93"/>
    <w:rsid w:val="00185D66"/>
    <w:rsid w:val="00186D59"/>
    <w:rsid w:val="001871DD"/>
    <w:rsid w:val="00187930"/>
    <w:rsid w:val="00187FD0"/>
    <w:rsid w:val="00190AC1"/>
    <w:rsid w:val="001927DF"/>
    <w:rsid w:val="001932FC"/>
    <w:rsid w:val="0019341A"/>
    <w:rsid w:val="00193704"/>
    <w:rsid w:val="00194456"/>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CE6"/>
    <w:rsid w:val="001E6091"/>
    <w:rsid w:val="001E7AED"/>
    <w:rsid w:val="001F0443"/>
    <w:rsid w:val="001F07D8"/>
    <w:rsid w:val="001F087C"/>
    <w:rsid w:val="001F0B12"/>
    <w:rsid w:val="001F0B22"/>
    <w:rsid w:val="001F0FEA"/>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422"/>
    <w:rsid w:val="00226A79"/>
    <w:rsid w:val="00227749"/>
    <w:rsid w:val="00227AF2"/>
    <w:rsid w:val="00227B13"/>
    <w:rsid w:val="00227E24"/>
    <w:rsid w:val="00227ECB"/>
    <w:rsid w:val="00230765"/>
    <w:rsid w:val="00231886"/>
    <w:rsid w:val="002318ED"/>
    <w:rsid w:val="002319E4"/>
    <w:rsid w:val="00232375"/>
    <w:rsid w:val="0023274F"/>
    <w:rsid w:val="00232C7C"/>
    <w:rsid w:val="00233C3D"/>
    <w:rsid w:val="00233C9B"/>
    <w:rsid w:val="002347AD"/>
    <w:rsid w:val="002348E4"/>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4C78"/>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07B8"/>
    <w:rsid w:val="002A17BC"/>
    <w:rsid w:val="002A1AE5"/>
    <w:rsid w:val="002A1D4E"/>
    <w:rsid w:val="002A1F9B"/>
    <w:rsid w:val="002A1FD1"/>
    <w:rsid w:val="002A2869"/>
    <w:rsid w:val="002A2980"/>
    <w:rsid w:val="002A2A87"/>
    <w:rsid w:val="002A2DB3"/>
    <w:rsid w:val="002A30D2"/>
    <w:rsid w:val="002A379D"/>
    <w:rsid w:val="002A3828"/>
    <w:rsid w:val="002A3B66"/>
    <w:rsid w:val="002A454A"/>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74E"/>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4A1"/>
    <w:rsid w:val="002D2908"/>
    <w:rsid w:val="002D2E77"/>
    <w:rsid w:val="002D31F0"/>
    <w:rsid w:val="002D32CB"/>
    <w:rsid w:val="002D34B2"/>
    <w:rsid w:val="002D4322"/>
    <w:rsid w:val="002D4350"/>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57D24"/>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8AA"/>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58C3"/>
    <w:rsid w:val="004B6327"/>
    <w:rsid w:val="004B676B"/>
    <w:rsid w:val="004B697C"/>
    <w:rsid w:val="004B70A5"/>
    <w:rsid w:val="004B75D1"/>
    <w:rsid w:val="004B7821"/>
    <w:rsid w:val="004B7BFD"/>
    <w:rsid w:val="004B7C0C"/>
    <w:rsid w:val="004B7CA2"/>
    <w:rsid w:val="004C0045"/>
    <w:rsid w:val="004C01DC"/>
    <w:rsid w:val="004C0486"/>
    <w:rsid w:val="004C04EF"/>
    <w:rsid w:val="004C0D60"/>
    <w:rsid w:val="004C0F6D"/>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10D"/>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69FF"/>
    <w:rsid w:val="00517725"/>
    <w:rsid w:val="0051789C"/>
    <w:rsid w:val="005178BC"/>
    <w:rsid w:val="00517ED8"/>
    <w:rsid w:val="00520327"/>
    <w:rsid w:val="005207D9"/>
    <w:rsid w:val="0052119C"/>
    <w:rsid w:val="005212C3"/>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B47"/>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3C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37863"/>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C43"/>
    <w:rsid w:val="00657E56"/>
    <w:rsid w:val="00657F22"/>
    <w:rsid w:val="0066011D"/>
    <w:rsid w:val="006601C6"/>
    <w:rsid w:val="006607C0"/>
    <w:rsid w:val="006613A6"/>
    <w:rsid w:val="00661B2D"/>
    <w:rsid w:val="00661BCA"/>
    <w:rsid w:val="006623DD"/>
    <w:rsid w:val="006627A2"/>
    <w:rsid w:val="006629CC"/>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5CA"/>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A5"/>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03E"/>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BDE"/>
    <w:rsid w:val="007340C9"/>
    <w:rsid w:val="0073426F"/>
    <w:rsid w:val="00734874"/>
    <w:rsid w:val="007348B1"/>
    <w:rsid w:val="00734B23"/>
    <w:rsid w:val="007356CD"/>
    <w:rsid w:val="007358ED"/>
    <w:rsid w:val="007361C8"/>
    <w:rsid w:val="007362A6"/>
    <w:rsid w:val="007362FF"/>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23"/>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9D1"/>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7BD"/>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905"/>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9E2"/>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433"/>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1EBF"/>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7D3"/>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1D4"/>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0DA5"/>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20E"/>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00E"/>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3A9D"/>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487A"/>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803"/>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97F36"/>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BF0"/>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1207"/>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3C"/>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0ED"/>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37B1A"/>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526"/>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36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0E"/>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E3C"/>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D2E"/>
    <w:rsid w:val="00F44F6A"/>
    <w:rsid w:val="00F44FEC"/>
    <w:rsid w:val="00F452B9"/>
    <w:rsid w:val="00F45D35"/>
    <w:rsid w:val="00F46010"/>
    <w:rsid w:val="00F46B03"/>
    <w:rsid w:val="00F46BF3"/>
    <w:rsid w:val="00F46FE6"/>
    <w:rsid w:val="00F47519"/>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744"/>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3345"/>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7714343">
      <w:bodyDiv w:val="1"/>
      <w:marLeft w:val="0"/>
      <w:marRight w:val="0"/>
      <w:marTop w:val="0"/>
      <w:marBottom w:val="0"/>
      <w:divBdr>
        <w:top w:val="none" w:sz="0" w:space="0" w:color="auto"/>
        <w:left w:val="none" w:sz="0" w:space="0" w:color="auto"/>
        <w:bottom w:val="none" w:sz="0" w:space="0" w:color="auto"/>
        <w:right w:val="none" w:sz="0" w:space="0" w:color="auto"/>
      </w:divBdr>
      <w:divsChild>
        <w:div w:id="1446194423">
          <w:marLeft w:val="0"/>
          <w:marRight w:val="0"/>
          <w:marTop w:val="0"/>
          <w:marBottom w:val="0"/>
          <w:divBdr>
            <w:top w:val="none" w:sz="0" w:space="0" w:color="auto"/>
            <w:left w:val="none" w:sz="0" w:space="0" w:color="auto"/>
            <w:bottom w:val="none" w:sz="0" w:space="0" w:color="auto"/>
            <w:right w:val="none" w:sz="0" w:space="0" w:color="auto"/>
          </w:divBdr>
          <w:divsChild>
            <w:div w:id="1396900122">
              <w:marLeft w:val="0"/>
              <w:marRight w:val="0"/>
              <w:marTop w:val="0"/>
              <w:marBottom w:val="0"/>
              <w:divBdr>
                <w:top w:val="none" w:sz="0" w:space="0" w:color="auto"/>
                <w:left w:val="none" w:sz="0" w:space="0" w:color="auto"/>
                <w:bottom w:val="none" w:sz="0" w:space="0" w:color="auto"/>
                <w:right w:val="none" w:sz="0" w:space="0" w:color="auto"/>
              </w:divBdr>
              <w:divsChild>
                <w:div w:id="14635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698189847">
      <w:bodyDiv w:val="1"/>
      <w:marLeft w:val="0"/>
      <w:marRight w:val="0"/>
      <w:marTop w:val="0"/>
      <w:marBottom w:val="0"/>
      <w:divBdr>
        <w:top w:val="none" w:sz="0" w:space="0" w:color="auto"/>
        <w:left w:val="none" w:sz="0" w:space="0" w:color="auto"/>
        <w:bottom w:val="none" w:sz="0" w:space="0" w:color="auto"/>
        <w:right w:val="none" w:sz="0" w:space="0" w:color="auto"/>
      </w:divBdr>
      <w:divsChild>
        <w:div w:id="799691217">
          <w:marLeft w:val="0"/>
          <w:marRight w:val="0"/>
          <w:marTop w:val="0"/>
          <w:marBottom w:val="0"/>
          <w:divBdr>
            <w:top w:val="none" w:sz="0" w:space="0" w:color="auto"/>
            <w:left w:val="none" w:sz="0" w:space="0" w:color="auto"/>
            <w:bottom w:val="none" w:sz="0" w:space="0" w:color="auto"/>
            <w:right w:val="none" w:sz="0" w:space="0" w:color="auto"/>
          </w:divBdr>
          <w:divsChild>
            <w:div w:id="31539776">
              <w:marLeft w:val="0"/>
              <w:marRight w:val="0"/>
              <w:marTop w:val="0"/>
              <w:marBottom w:val="0"/>
              <w:divBdr>
                <w:top w:val="none" w:sz="0" w:space="0" w:color="auto"/>
                <w:left w:val="none" w:sz="0" w:space="0" w:color="auto"/>
                <w:bottom w:val="none" w:sz="0" w:space="0" w:color="auto"/>
                <w:right w:val="none" w:sz="0" w:space="0" w:color="auto"/>
              </w:divBdr>
              <w:divsChild>
                <w:div w:id="17238864">
                  <w:marLeft w:val="0"/>
                  <w:marRight w:val="0"/>
                  <w:marTop w:val="0"/>
                  <w:marBottom w:val="0"/>
                  <w:divBdr>
                    <w:top w:val="none" w:sz="0" w:space="0" w:color="auto"/>
                    <w:left w:val="none" w:sz="0" w:space="0" w:color="auto"/>
                    <w:bottom w:val="none" w:sz="0" w:space="0" w:color="auto"/>
                    <w:right w:val="none" w:sz="0" w:space="0" w:color="auto"/>
                  </w:divBdr>
                  <w:divsChild>
                    <w:div w:id="9907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1906</Words>
  <Characters>10868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2024-05-10T16:21:00Z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